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6F" w:rsidRPr="00E44B70" w:rsidRDefault="005F0C9E" w:rsidP="00C00FBC">
      <w:pPr>
        <w:rPr>
          <w:rFonts w:ascii="Arial" w:hAnsi="Arial" w:cs="Arial"/>
          <w:b/>
          <w:sz w:val="28"/>
          <w:szCs w:val="28"/>
        </w:rPr>
      </w:pPr>
      <w:r w:rsidRPr="00E44B70">
        <w:rPr>
          <w:rFonts w:ascii="Arial" w:hAnsi="Arial" w:cs="Arial"/>
          <w:b/>
          <w:sz w:val="28"/>
          <w:szCs w:val="28"/>
        </w:rPr>
        <w:t>Summary of Changes to your Rights under your Tenancy Agreement</w:t>
      </w:r>
    </w:p>
    <w:tbl>
      <w:tblPr>
        <w:tblStyle w:val="TableGrid"/>
        <w:tblW w:w="0" w:type="auto"/>
        <w:tblLook w:val="04A0" w:firstRow="1" w:lastRow="0" w:firstColumn="1" w:lastColumn="0" w:noHBand="0" w:noVBand="1"/>
      </w:tblPr>
      <w:tblGrid>
        <w:gridCol w:w="1469"/>
        <w:gridCol w:w="1324"/>
        <w:gridCol w:w="2156"/>
        <w:gridCol w:w="1484"/>
        <w:gridCol w:w="1177"/>
        <w:gridCol w:w="1514"/>
      </w:tblGrid>
      <w:tr w:rsidR="003D0CE0" w:rsidRPr="00E44B70" w:rsidTr="00E44B70">
        <w:trPr>
          <w:tblHeader/>
        </w:trPr>
        <w:tc>
          <w:tcPr>
            <w:tcW w:w="1672" w:type="dxa"/>
            <w:vAlign w:val="center"/>
          </w:tcPr>
          <w:p w:rsidR="003D0CE0" w:rsidRPr="00E44B70" w:rsidRDefault="003D0CE0" w:rsidP="008F5DA7">
            <w:pPr>
              <w:jc w:val="center"/>
              <w:rPr>
                <w:rFonts w:ascii="Arial" w:hAnsi="Arial" w:cs="Arial"/>
                <w:b/>
                <w:sz w:val="24"/>
                <w:szCs w:val="24"/>
              </w:rPr>
            </w:pPr>
            <w:r w:rsidRPr="00E44B70">
              <w:rPr>
                <w:rFonts w:ascii="Arial" w:hAnsi="Arial" w:cs="Arial"/>
                <w:b/>
                <w:sz w:val="24"/>
                <w:szCs w:val="24"/>
              </w:rPr>
              <w:t>Topic</w:t>
            </w:r>
          </w:p>
        </w:tc>
        <w:tc>
          <w:tcPr>
            <w:tcW w:w="1324" w:type="dxa"/>
            <w:vAlign w:val="center"/>
          </w:tcPr>
          <w:p w:rsidR="003D0CE0" w:rsidRPr="00E44B70" w:rsidRDefault="003D0CE0" w:rsidP="008F5DA7">
            <w:pPr>
              <w:jc w:val="center"/>
              <w:rPr>
                <w:rFonts w:ascii="Arial" w:hAnsi="Arial" w:cs="Arial"/>
                <w:b/>
                <w:sz w:val="24"/>
                <w:szCs w:val="24"/>
              </w:rPr>
            </w:pPr>
            <w:r w:rsidRPr="00E44B70">
              <w:rPr>
                <w:rFonts w:ascii="Arial" w:hAnsi="Arial" w:cs="Arial"/>
                <w:b/>
                <w:sz w:val="24"/>
                <w:szCs w:val="24"/>
              </w:rPr>
              <w:t>When it comes into effect</w:t>
            </w:r>
          </w:p>
        </w:tc>
        <w:tc>
          <w:tcPr>
            <w:tcW w:w="6120" w:type="dxa"/>
            <w:vAlign w:val="center"/>
          </w:tcPr>
          <w:p w:rsidR="003D0CE0" w:rsidRPr="00E44B70" w:rsidRDefault="003D0CE0" w:rsidP="008F5DA7">
            <w:pPr>
              <w:jc w:val="center"/>
              <w:rPr>
                <w:rFonts w:ascii="Arial" w:hAnsi="Arial" w:cs="Arial"/>
                <w:b/>
                <w:sz w:val="24"/>
                <w:szCs w:val="24"/>
              </w:rPr>
            </w:pPr>
            <w:r w:rsidRPr="00E44B70">
              <w:rPr>
                <w:rFonts w:ascii="Arial" w:hAnsi="Arial" w:cs="Arial"/>
                <w:b/>
                <w:sz w:val="24"/>
                <w:szCs w:val="24"/>
              </w:rPr>
              <w:t>Changes introduced</w:t>
            </w:r>
          </w:p>
        </w:tc>
        <w:tc>
          <w:tcPr>
            <w:tcW w:w="0" w:type="auto"/>
            <w:vAlign w:val="center"/>
          </w:tcPr>
          <w:p w:rsidR="003D0CE0" w:rsidRPr="00E44B70" w:rsidRDefault="003D0CE0" w:rsidP="008F5DA7">
            <w:pPr>
              <w:jc w:val="center"/>
              <w:rPr>
                <w:rFonts w:ascii="Arial" w:hAnsi="Arial" w:cs="Arial"/>
                <w:b/>
                <w:sz w:val="24"/>
                <w:szCs w:val="24"/>
              </w:rPr>
            </w:pPr>
            <w:r w:rsidRPr="00E44B70">
              <w:rPr>
                <w:rFonts w:ascii="Arial" w:hAnsi="Arial" w:cs="Arial"/>
                <w:b/>
                <w:sz w:val="24"/>
                <w:szCs w:val="24"/>
              </w:rPr>
              <w:t>Current situation</w:t>
            </w:r>
          </w:p>
        </w:tc>
        <w:tc>
          <w:tcPr>
            <w:tcW w:w="0" w:type="auto"/>
            <w:vAlign w:val="center"/>
          </w:tcPr>
          <w:p w:rsidR="003D0CE0" w:rsidRPr="00E44B70" w:rsidRDefault="003D0CE0" w:rsidP="008F5DA7">
            <w:pPr>
              <w:jc w:val="center"/>
              <w:rPr>
                <w:rFonts w:ascii="Arial" w:hAnsi="Arial" w:cs="Arial"/>
                <w:b/>
                <w:sz w:val="24"/>
                <w:szCs w:val="24"/>
              </w:rPr>
            </w:pPr>
            <w:r w:rsidRPr="00E44B70">
              <w:rPr>
                <w:rFonts w:ascii="Arial" w:hAnsi="Arial" w:cs="Arial"/>
                <w:b/>
                <w:sz w:val="24"/>
                <w:szCs w:val="24"/>
              </w:rPr>
              <w:t>Action required</w:t>
            </w:r>
          </w:p>
        </w:tc>
        <w:tc>
          <w:tcPr>
            <w:tcW w:w="2225" w:type="dxa"/>
            <w:vAlign w:val="center"/>
          </w:tcPr>
          <w:p w:rsidR="003D0CE0" w:rsidRPr="00E44B70" w:rsidRDefault="003D0CE0" w:rsidP="008F5DA7">
            <w:pPr>
              <w:jc w:val="center"/>
              <w:rPr>
                <w:rFonts w:ascii="Arial" w:hAnsi="Arial" w:cs="Arial"/>
                <w:b/>
                <w:sz w:val="24"/>
                <w:szCs w:val="24"/>
              </w:rPr>
            </w:pPr>
            <w:r w:rsidRPr="00E44B70">
              <w:rPr>
                <w:rFonts w:ascii="Arial" w:hAnsi="Arial" w:cs="Arial"/>
                <w:b/>
                <w:sz w:val="24"/>
                <w:szCs w:val="24"/>
              </w:rPr>
              <w:t>What happens if you don’t take action?</w:t>
            </w:r>
          </w:p>
        </w:tc>
      </w:tr>
      <w:tr w:rsidR="003D0CE0" w:rsidRPr="00E44B70" w:rsidTr="00E44B70">
        <w:tc>
          <w:tcPr>
            <w:tcW w:w="1672"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 xml:space="preserve">Conversion to SSST </w:t>
            </w:r>
          </w:p>
        </w:tc>
        <w:tc>
          <w:tcPr>
            <w:tcW w:w="1324"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1 May 2019</w:t>
            </w:r>
          </w:p>
        </w:tc>
        <w:tc>
          <w:tcPr>
            <w:tcW w:w="6120"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Circumstances will include any situation where a tenant or someone living with the tenant has acted in an antisocial manner, or pursued a course of conduct amounting to harassment of another person. This conduct must have been in or around the house occupied by the tenant and it must also have happened in the 3 years before the notice is served.</w:t>
            </w:r>
          </w:p>
          <w:p w:rsidR="003D0CE0" w:rsidRPr="00E44B70" w:rsidRDefault="003D0CE0" w:rsidP="008F5DA7">
            <w:pPr>
              <w:jc w:val="center"/>
              <w:rPr>
                <w:rFonts w:ascii="Arial" w:hAnsi="Arial" w:cs="Arial"/>
                <w:sz w:val="24"/>
                <w:szCs w:val="24"/>
              </w:rPr>
            </w:pPr>
          </w:p>
          <w:p w:rsidR="003D0CE0" w:rsidRPr="00E44B70" w:rsidRDefault="003D0CE0" w:rsidP="008F5DA7">
            <w:pPr>
              <w:jc w:val="center"/>
              <w:rPr>
                <w:rFonts w:ascii="Arial" w:hAnsi="Arial" w:cs="Arial"/>
                <w:sz w:val="24"/>
                <w:szCs w:val="24"/>
              </w:rPr>
            </w:pPr>
            <w:r w:rsidRPr="00E44B70">
              <w:rPr>
                <w:rFonts w:ascii="Arial" w:hAnsi="Arial" w:cs="Arial"/>
                <w:sz w:val="24"/>
                <w:szCs w:val="24"/>
              </w:rPr>
              <w:t xml:space="preserve">In cases where no antisocial behaviour order has been granted by the court, the landlord must include in the notice the actions of the person who has behaved in an antisocial manner, the landlord’s reasons for converting the tenancy and details of the tenant’s right of </w:t>
            </w:r>
            <w:r w:rsidRPr="00E44B70">
              <w:rPr>
                <w:rFonts w:ascii="Arial" w:hAnsi="Arial" w:cs="Arial"/>
                <w:sz w:val="24"/>
                <w:szCs w:val="24"/>
              </w:rPr>
              <w:lastRenderedPageBreak/>
              <w:t xml:space="preserve">appeal to the court.  </w:t>
            </w:r>
          </w:p>
          <w:p w:rsidR="00BF1F94" w:rsidRPr="00E44B70" w:rsidRDefault="00BF1F94" w:rsidP="008F5DA7">
            <w:pPr>
              <w:jc w:val="center"/>
              <w:rPr>
                <w:rFonts w:ascii="Arial" w:hAnsi="Arial" w:cs="Arial"/>
                <w:sz w:val="24"/>
                <w:szCs w:val="24"/>
              </w:rPr>
            </w:pPr>
          </w:p>
        </w:tc>
        <w:tc>
          <w:tcPr>
            <w:tcW w:w="0" w:type="auto"/>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lastRenderedPageBreak/>
              <w:t>N/A</w:t>
            </w:r>
          </w:p>
        </w:tc>
        <w:tc>
          <w:tcPr>
            <w:tcW w:w="0" w:type="auto"/>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None</w:t>
            </w:r>
          </w:p>
        </w:tc>
        <w:tc>
          <w:tcPr>
            <w:tcW w:w="2225"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N/A</w:t>
            </w:r>
          </w:p>
        </w:tc>
      </w:tr>
      <w:tr w:rsidR="003D0CE0" w:rsidRPr="00E44B70" w:rsidTr="00E44B70">
        <w:tc>
          <w:tcPr>
            <w:tcW w:w="1672"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lastRenderedPageBreak/>
              <w:t>Joint Tenancy</w:t>
            </w:r>
          </w:p>
        </w:tc>
        <w:tc>
          <w:tcPr>
            <w:tcW w:w="1324"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1 November 2019</w:t>
            </w:r>
          </w:p>
        </w:tc>
        <w:tc>
          <w:tcPr>
            <w:tcW w:w="6120" w:type="dxa"/>
            <w:vAlign w:val="center"/>
          </w:tcPr>
          <w:p w:rsidR="003D0CE0" w:rsidRPr="00E44B70" w:rsidRDefault="003D0CE0" w:rsidP="004B3C57">
            <w:pPr>
              <w:jc w:val="center"/>
              <w:rPr>
                <w:rFonts w:ascii="Arial" w:hAnsi="Arial" w:cs="Arial"/>
                <w:sz w:val="24"/>
                <w:szCs w:val="24"/>
              </w:rPr>
            </w:pPr>
            <w:r w:rsidRPr="00E44B70">
              <w:rPr>
                <w:rFonts w:ascii="Arial" w:hAnsi="Arial" w:cs="Arial"/>
                <w:sz w:val="24"/>
                <w:szCs w:val="24"/>
              </w:rPr>
              <w:t xml:space="preserve">The proposed joint tenant must have lived at the property as their only principal home for the 12 months before you apply for them to become a joint tenant. 12 months only start when we have received written notification from you that they live there. </w:t>
            </w:r>
          </w:p>
          <w:p w:rsidR="00BF1F94" w:rsidRPr="00E44B70" w:rsidRDefault="00BF1F94" w:rsidP="004B3C57">
            <w:pPr>
              <w:jc w:val="center"/>
              <w:rPr>
                <w:rFonts w:ascii="Arial" w:hAnsi="Arial" w:cs="Arial"/>
                <w:sz w:val="24"/>
                <w:szCs w:val="24"/>
              </w:rPr>
            </w:pPr>
          </w:p>
        </w:tc>
        <w:tc>
          <w:tcPr>
            <w:tcW w:w="0" w:type="auto"/>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No qualifying period</w:t>
            </w:r>
          </w:p>
        </w:tc>
        <w:tc>
          <w:tcPr>
            <w:tcW w:w="0" w:type="auto"/>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Notify us in writing of who lives in your house</w:t>
            </w:r>
          </w:p>
        </w:tc>
        <w:tc>
          <w:tcPr>
            <w:tcW w:w="2225" w:type="dxa"/>
            <w:vAlign w:val="center"/>
          </w:tcPr>
          <w:p w:rsidR="003D0CE0" w:rsidRPr="00E44B70" w:rsidRDefault="003D0CE0" w:rsidP="004B3C57">
            <w:pPr>
              <w:jc w:val="center"/>
              <w:rPr>
                <w:rFonts w:ascii="Arial" w:hAnsi="Arial" w:cs="Arial"/>
                <w:sz w:val="24"/>
                <w:szCs w:val="24"/>
              </w:rPr>
            </w:pPr>
            <w:r w:rsidRPr="00E44B70">
              <w:rPr>
                <w:rFonts w:ascii="Arial" w:hAnsi="Arial" w:cs="Arial"/>
                <w:sz w:val="24"/>
                <w:szCs w:val="24"/>
              </w:rPr>
              <w:t xml:space="preserve">We will not be able to offer a joint tenancy </w:t>
            </w:r>
          </w:p>
        </w:tc>
      </w:tr>
      <w:tr w:rsidR="003D0CE0" w:rsidRPr="00E44B70" w:rsidTr="00E44B70">
        <w:tc>
          <w:tcPr>
            <w:tcW w:w="1672"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Subletting</w:t>
            </w:r>
          </w:p>
        </w:tc>
        <w:tc>
          <w:tcPr>
            <w:tcW w:w="1324"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1 November 2019</w:t>
            </w:r>
          </w:p>
        </w:tc>
        <w:tc>
          <w:tcPr>
            <w:tcW w:w="6120" w:type="dxa"/>
            <w:vAlign w:val="center"/>
          </w:tcPr>
          <w:p w:rsidR="003D0CE0" w:rsidRPr="00E44B70" w:rsidRDefault="003D0CE0" w:rsidP="00C340C2">
            <w:pPr>
              <w:jc w:val="center"/>
              <w:rPr>
                <w:rFonts w:ascii="Arial" w:hAnsi="Arial" w:cs="Arial"/>
                <w:sz w:val="24"/>
                <w:szCs w:val="24"/>
              </w:rPr>
            </w:pPr>
            <w:r w:rsidRPr="00E44B70">
              <w:rPr>
                <w:rFonts w:ascii="Arial" w:hAnsi="Arial" w:cs="Arial"/>
                <w:sz w:val="24"/>
                <w:szCs w:val="24"/>
              </w:rPr>
              <w:t xml:space="preserve">You must have been the tenant of the house throughout the 12 months immediately before you apply for written permission to sublet your home. </w:t>
            </w:r>
          </w:p>
          <w:p w:rsidR="00BF1F94" w:rsidRPr="00E44B70" w:rsidRDefault="00BF1F94" w:rsidP="00C340C2">
            <w:pPr>
              <w:jc w:val="center"/>
              <w:rPr>
                <w:rFonts w:ascii="Arial" w:hAnsi="Arial" w:cs="Arial"/>
                <w:sz w:val="24"/>
                <w:szCs w:val="24"/>
              </w:rPr>
            </w:pPr>
          </w:p>
        </w:tc>
        <w:tc>
          <w:tcPr>
            <w:tcW w:w="0" w:type="auto"/>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No qualifying period</w:t>
            </w:r>
          </w:p>
          <w:p w:rsidR="003D0CE0" w:rsidRPr="00E44B70" w:rsidRDefault="003D0CE0" w:rsidP="008F5DA7">
            <w:pPr>
              <w:jc w:val="center"/>
              <w:rPr>
                <w:rFonts w:ascii="Arial" w:hAnsi="Arial" w:cs="Arial"/>
                <w:sz w:val="24"/>
                <w:szCs w:val="24"/>
              </w:rPr>
            </w:pPr>
          </w:p>
          <w:p w:rsidR="003D0CE0" w:rsidRPr="00E44B70" w:rsidRDefault="003D0CE0" w:rsidP="008F5DA7">
            <w:pPr>
              <w:jc w:val="center"/>
              <w:rPr>
                <w:rFonts w:ascii="Arial" w:hAnsi="Arial" w:cs="Arial"/>
                <w:sz w:val="24"/>
                <w:szCs w:val="24"/>
              </w:rPr>
            </w:pPr>
          </w:p>
        </w:tc>
        <w:tc>
          <w:tcPr>
            <w:tcW w:w="0" w:type="auto"/>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None</w:t>
            </w:r>
          </w:p>
        </w:tc>
        <w:tc>
          <w:tcPr>
            <w:tcW w:w="2225"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 xml:space="preserve"> N/A </w:t>
            </w:r>
          </w:p>
        </w:tc>
      </w:tr>
      <w:tr w:rsidR="003D0CE0" w:rsidRPr="00E44B70" w:rsidTr="00E44B70">
        <w:tc>
          <w:tcPr>
            <w:tcW w:w="1672"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Assignation</w:t>
            </w:r>
          </w:p>
        </w:tc>
        <w:tc>
          <w:tcPr>
            <w:tcW w:w="1324"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1 November 2019</w:t>
            </w:r>
          </w:p>
        </w:tc>
        <w:tc>
          <w:tcPr>
            <w:tcW w:w="6120"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The house must have been your only or principal home during the 12 months immediately before you apply for written permission to pass your tenancy to someone else.</w:t>
            </w:r>
          </w:p>
          <w:p w:rsidR="003D0CE0" w:rsidRPr="00E44B70" w:rsidRDefault="003D0CE0" w:rsidP="008F5DA7">
            <w:pPr>
              <w:jc w:val="center"/>
              <w:rPr>
                <w:rFonts w:ascii="Arial" w:hAnsi="Arial" w:cs="Arial"/>
                <w:sz w:val="24"/>
                <w:szCs w:val="24"/>
              </w:rPr>
            </w:pPr>
          </w:p>
          <w:p w:rsidR="003D0CE0" w:rsidRPr="00E44B70" w:rsidRDefault="003D0CE0" w:rsidP="008F5DA7">
            <w:pPr>
              <w:jc w:val="center"/>
              <w:rPr>
                <w:rFonts w:ascii="Arial" w:hAnsi="Arial" w:cs="Arial"/>
                <w:sz w:val="24"/>
                <w:szCs w:val="24"/>
              </w:rPr>
            </w:pPr>
            <w:r w:rsidRPr="00E44B70">
              <w:rPr>
                <w:rFonts w:ascii="Arial" w:hAnsi="Arial" w:cs="Arial"/>
                <w:sz w:val="24"/>
                <w:szCs w:val="24"/>
              </w:rPr>
              <w:t xml:space="preserve">The person you </w:t>
            </w:r>
            <w:r w:rsidRPr="00E44B70">
              <w:rPr>
                <w:rFonts w:ascii="Arial" w:hAnsi="Arial" w:cs="Arial"/>
                <w:sz w:val="24"/>
                <w:szCs w:val="24"/>
              </w:rPr>
              <w:lastRenderedPageBreak/>
              <w:t>wish to pass your tenancy to must have lived at the property as their only or principal home for the 12 months before you apply.</w:t>
            </w:r>
          </w:p>
          <w:p w:rsidR="003D0CE0" w:rsidRPr="00E44B70" w:rsidRDefault="003D0CE0" w:rsidP="008F5DA7">
            <w:pPr>
              <w:jc w:val="center"/>
              <w:rPr>
                <w:rFonts w:ascii="Arial" w:hAnsi="Arial" w:cs="Arial"/>
                <w:sz w:val="24"/>
                <w:szCs w:val="24"/>
              </w:rPr>
            </w:pPr>
          </w:p>
          <w:p w:rsidR="00BF1F94" w:rsidRPr="00E44B70" w:rsidRDefault="003D0CE0" w:rsidP="001E6136">
            <w:pPr>
              <w:jc w:val="center"/>
              <w:rPr>
                <w:rFonts w:ascii="Arial" w:hAnsi="Arial" w:cs="Arial"/>
                <w:sz w:val="24"/>
                <w:szCs w:val="24"/>
              </w:rPr>
            </w:pPr>
            <w:r w:rsidRPr="00E44B70">
              <w:rPr>
                <w:rFonts w:ascii="Arial" w:hAnsi="Arial" w:cs="Arial"/>
                <w:sz w:val="24"/>
                <w:szCs w:val="24"/>
              </w:rPr>
              <w:t>The 12-month period only starts when we have received written notification that the person living in the property as their only or principle home. We must have been told that by you, a joint tenant, or the person you now wish to pass the tenancy to.</w:t>
            </w:r>
          </w:p>
        </w:tc>
        <w:tc>
          <w:tcPr>
            <w:tcW w:w="0" w:type="auto"/>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lastRenderedPageBreak/>
              <w:t>No qualifying period for existing tenant.</w:t>
            </w:r>
          </w:p>
          <w:p w:rsidR="003D0CE0" w:rsidRPr="00E44B70" w:rsidRDefault="003D0CE0" w:rsidP="008F5DA7">
            <w:pPr>
              <w:jc w:val="center"/>
              <w:rPr>
                <w:rFonts w:ascii="Arial" w:hAnsi="Arial" w:cs="Arial"/>
                <w:sz w:val="24"/>
                <w:szCs w:val="24"/>
              </w:rPr>
            </w:pPr>
          </w:p>
          <w:p w:rsidR="003D0CE0" w:rsidRPr="00E44B70" w:rsidRDefault="003D0CE0" w:rsidP="008F5DA7">
            <w:pPr>
              <w:jc w:val="center"/>
              <w:rPr>
                <w:rFonts w:ascii="Arial" w:hAnsi="Arial" w:cs="Arial"/>
                <w:sz w:val="24"/>
                <w:szCs w:val="24"/>
              </w:rPr>
            </w:pPr>
            <w:r w:rsidRPr="00E44B70">
              <w:rPr>
                <w:rFonts w:ascii="Arial" w:hAnsi="Arial" w:cs="Arial"/>
                <w:sz w:val="24"/>
                <w:szCs w:val="24"/>
              </w:rPr>
              <w:t>Six-month qualification period required for assignee</w:t>
            </w:r>
          </w:p>
          <w:p w:rsidR="003D0CE0" w:rsidRPr="00E44B70" w:rsidRDefault="003D0CE0" w:rsidP="008F5DA7">
            <w:pPr>
              <w:jc w:val="center"/>
              <w:rPr>
                <w:rFonts w:ascii="Arial" w:hAnsi="Arial" w:cs="Arial"/>
                <w:sz w:val="24"/>
                <w:szCs w:val="24"/>
              </w:rPr>
            </w:pPr>
          </w:p>
          <w:p w:rsidR="003D0CE0" w:rsidRPr="00E44B70" w:rsidRDefault="003D0CE0" w:rsidP="008F5DA7">
            <w:pPr>
              <w:jc w:val="center"/>
              <w:rPr>
                <w:rFonts w:ascii="Arial" w:hAnsi="Arial" w:cs="Arial"/>
                <w:sz w:val="24"/>
                <w:szCs w:val="24"/>
              </w:rPr>
            </w:pPr>
            <w:r w:rsidRPr="00E44B70">
              <w:rPr>
                <w:rFonts w:ascii="Arial" w:hAnsi="Arial" w:cs="Arial"/>
                <w:sz w:val="24"/>
                <w:szCs w:val="24"/>
              </w:rPr>
              <w:t xml:space="preserve">Written notification </w:t>
            </w:r>
            <w:r w:rsidRPr="00E44B70">
              <w:rPr>
                <w:rFonts w:ascii="Arial" w:hAnsi="Arial" w:cs="Arial"/>
                <w:sz w:val="24"/>
                <w:szCs w:val="24"/>
              </w:rPr>
              <w:lastRenderedPageBreak/>
              <w:t>required</w:t>
            </w:r>
          </w:p>
        </w:tc>
        <w:tc>
          <w:tcPr>
            <w:tcW w:w="0" w:type="auto"/>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lastRenderedPageBreak/>
              <w:t>Notify us in writing of who lives in your house</w:t>
            </w:r>
          </w:p>
        </w:tc>
        <w:tc>
          <w:tcPr>
            <w:tcW w:w="2225" w:type="dxa"/>
            <w:vAlign w:val="center"/>
          </w:tcPr>
          <w:p w:rsidR="003D0CE0" w:rsidRPr="00E44B70" w:rsidRDefault="003D0CE0" w:rsidP="00C340C2">
            <w:pPr>
              <w:jc w:val="center"/>
              <w:rPr>
                <w:rFonts w:ascii="Arial" w:hAnsi="Arial" w:cs="Arial"/>
                <w:sz w:val="24"/>
                <w:szCs w:val="24"/>
              </w:rPr>
            </w:pPr>
            <w:r w:rsidRPr="00E44B70">
              <w:rPr>
                <w:rFonts w:ascii="Arial" w:hAnsi="Arial" w:cs="Arial"/>
                <w:sz w:val="24"/>
                <w:szCs w:val="24"/>
              </w:rPr>
              <w:t xml:space="preserve">We will not be able to assign your tenancy </w:t>
            </w:r>
          </w:p>
        </w:tc>
      </w:tr>
      <w:tr w:rsidR="003D0CE0" w:rsidRPr="00E44B70" w:rsidTr="00E44B70">
        <w:tc>
          <w:tcPr>
            <w:tcW w:w="1672"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lastRenderedPageBreak/>
              <w:t>Succession</w:t>
            </w:r>
          </w:p>
        </w:tc>
        <w:tc>
          <w:tcPr>
            <w:tcW w:w="1324"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1 November 2019</w:t>
            </w:r>
          </w:p>
        </w:tc>
        <w:tc>
          <w:tcPr>
            <w:tcW w:w="6120"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The person who is not the lawful spouse or civil partner of the deceased tenant  who wishes to succeed to the tenancy must have lived at the property as their only principal home for 12 months at the time of the tenant’s death.</w:t>
            </w:r>
          </w:p>
          <w:p w:rsidR="003D0CE0" w:rsidRPr="00E44B70" w:rsidRDefault="003D0CE0" w:rsidP="008F5DA7">
            <w:pPr>
              <w:jc w:val="center"/>
              <w:rPr>
                <w:rFonts w:ascii="Arial" w:hAnsi="Arial" w:cs="Arial"/>
                <w:sz w:val="24"/>
                <w:szCs w:val="24"/>
              </w:rPr>
            </w:pPr>
          </w:p>
          <w:p w:rsidR="003D0CE0" w:rsidRPr="00E44B70" w:rsidRDefault="003D0CE0" w:rsidP="001E6136">
            <w:pPr>
              <w:jc w:val="center"/>
              <w:rPr>
                <w:rFonts w:ascii="Arial" w:hAnsi="Arial" w:cs="Arial"/>
                <w:sz w:val="24"/>
                <w:szCs w:val="24"/>
              </w:rPr>
            </w:pPr>
            <w:r w:rsidRPr="00E44B70">
              <w:rPr>
                <w:rFonts w:ascii="Arial" w:hAnsi="Arial" w:cs="Arial"/>
                <w:sz w:val="24"/>
                <w:szCs w:val="24"/>
              </w:rPr>
              <w:t xml:space="preserve">The 12-month period does not begin until we have been </w:t>
            </w:r>
            <w:r w:rsidRPr="00E44B70">
              <w:rPr>
                <w:rFonts w:ascii="Arial" w:hAnsi="Arial" w:cs="Arial"/>
                <w:sz w:val="24"/>
                <w:szCs w:val="24"/>
              </w:rPr>
              <w:lastRenderedPageBreak/>
              <w:t>notified in writing that the person living in the property as their only principal home. We must have been told that by you, a joint tenant, or the person you now wish to pass the tenancy to.</w:t>
            </w:r>
          </w:p>
        </w:tc>
        <w:tc>
          <w:tcPr>
            <w:tcW w:w="0" w:type="auto"/>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lastRenderedPageBreak/>
              <w:t>No qualifying period</w:t>
            </w:r>
          </w:p>
          <w:p w:rsidR="003D0CE0" w:rsidRPr="00E44B70" w:rsidRDefault="003D0CE0" w:rsidP="008F5DA7">
            <w:pPr>
              <w:jc w:val="center"/>
              <w:rPr>
                <w:rFonts w:ascii="Arial" w:hAnsi="Arial" w:cs="Arial"/>
                <w:sz w:val="24"/>
                <w:szCs w:val="24"/>
              </w:rPr>
            </w:pPr>
          </w:p>
          <w:p w:rsidR="003D0CE0" w:rsidRPr="00E44B70" w:rsidRDefault="003D0CE0" w:rsidP="008F5DA7">
            <w:pPr>
              <w:jc w:val="center"/>
              <w:rPr>
                <w:rFonts w:ascii="Arial" w:hAnsi="Arial" w:cs="Arial"/>
                <w:sz w:val="24"/>
                <w:szCs w:val="24"/>
              </w:rPr>
            </w:pPr>
            <w:r w:rsidRPr="00E44B70">
              <w:rPr>
                <w:rFonts w:ascii="Arial" w:hAnsi="Arial" w:cs="Arial"/>
                <w:sz w:val="24"/>
                <w:szCs w:val="24"/>
              </w:rPr>
              <w:t>Written notification required</w:t>
            </w:r>
          </w:p>
        </w:tc>
        <w:tc>
          <w:tcPr>
            <w:tcW w:w="0" w:type="auto"/>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Notify us in writing of who lives in your house</w:t>
            </w:r>
          </w:p>
        </w:tc>
        <w:tc>
          <w:tcPr>
            <w:tcW w:w="2225" w:type="dxa"/>
            <w:vAlign w:val="center"/>
          </w:tcPr>
          <w:p w:rsidR="003D0CE0" w:rsidRPr="00E44B70" w:rsidRDefault="00397FF7" w:rsidP="00397FF7">
            <w:pPr>
              <w:jc w:val="center"/>
              <w:rPr>
                <w:rFonts w:ascii="Arial" w:hAnsi="Arial" w:cs="Arial"/>
                <w:sz w:val="24"/>
                <w:szCs w:val="24"/>
              </w:rPr>
            </w:pPr>
            <w:r w:rsidRPr="00E44B70">
              <w:rPr>
                <w:rFonts w:ascii="Arial" w:hAnsi="Arial" w:cs="Arial"/>
                <w:sz w:val="24"/>
                <w:szCs w:val="24"/>
              </w:rPr>
              <w:t>The</w:t>
            </w:r>
            <w:r w:rsidR="003D0CE0" w:rsidRPr="00E44B70">
              <w:rPr>
                <w:rFonts w:ascii="Arial" w:hAnsi="Arial" w:cs="Arial"/>
                <w:sz w:val="24"/>
                <w:szCs w:val="24"/>
              </w:rPr>
              <w:t xml:space="preserve"> person will not be entitled to succeed to your </w:t>
            </w:r>
            <w:r w:rsidRPr="00E44B70">
              <w:rPr>
                <w:rFonts w:ascii="Arial" w:hAnsi="Arial" w:cs="Arial"/>
                <w:sz w:val="24"/>
                <w:szCs w:val="24"/>
              </w:rPr>
              <w:t>tenancy. We</w:t>
            </w:r>
            <w:r w:rsidR="003D0CE0" w:rsidRPr="00E44B70">
              <w:rPr>
                <w:rFonts w:ascii="Arial" w:hAnsi="Arial" w:cs="Arial"/>
                <w:sz w:val="24"/>
                <w:szCs w:val="24"/>
              </w:rPr>
              <w:t xml:space="preserve"> will have no discretion to allow such succession.</w:t>
            </w:r>
          </w:p>
        </w:tc>
      </w:tr>
      <w:tr w:rsidR="003D0CE0" w:rsidRPr="00E44B70" w:rsidTr="00E44B70">
        <w:tc>
          <w:tcPr>
            <w:tcW w:w="1672"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lastRenderedPageBreak/>
              <w:t>Ending SST by Court Order following a conviction for serious antisocial behaviour or criminal behaviour</w:t>
            </w:r>
          </w:p>
        </w:tc>
        <w:tc>
          <w:tcPr>
            <w:tcW w:w="1324"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1 May 2019</w:t>
            </w:r>
          </w:p>
        </w:tc>
        <w:tc>
          <w:tcPr>
            <w:tcW w:w="6120"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Court does not have to consider whether it is reasonable to make an order for eviction where the landlord has grounds for recovery of possession under Schedule 2 paragraph 2 of the Housing (Scotland) Act 2001.</w:t>
            </w:r>
          </w:p>
        </w:tc>
        <w:tc>
          <w:tcPr>
            <w:tcW w:w="0" w:type="auto"/>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Courts need to consider if it is reasonable to evict after a conviction</w:t>
            </w:r>
          </w:p>
        </w:tc>
        <w:tc>
          <w:tcPr>
            <w:tcW w:w="0" w:type="auto"/>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N/A</w:t>
            </w:r>
          </w:p>
        </w:tc>
        <w:tc>
          <w:tcPr>
            <w:tcW w:w="2225"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N/A</w:t>
            </w:r>
          </w:p>
        </w:tc>
      </w:tr>
      <w:tr w:rsidR="003D0CE0" w:rsidRPr="00E44B70" w:rsidTr="00E44B70">
        <w:tc>
          <w:tcPr>
            <w:tcW w:w="1672"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Recovering adapted properties</w:t>
            </w:r>
          </w:p>
        </w:tc>
        <w:tc>
          <w:tcPr>
            <w:tcW w:w="1324"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1 May 2019</w:t>
            </w:r>
          </w:p>
        </w:tc>
        <w:tc>
          <w:tcPr>
            <w:tcW w:w="6120" w:type="dxa"/>
            <w:vAlign w:val="center"/>
          </w:tcPr>
          <w:p w:rsidR="00BF1F94" w:rsidRPr="00E44B70" w:rsidRDefault="003D0CE0" w:rsidP="001E6136">
            <w:pPr>
              <w:jc w:val="center"/>
              <w:rPr>
                <w:rFonts w:ascii="Arial" w:hAnsi="Arial" w:cs="Arial"/>
                <w:sz w:val="24"/>
                <w:szCs w:val="24"/>
              </w:rPr>
            </w:pPr>
            <w:r w:rsidRPr="00E44B70">
              <w:rPr>
                <w:rFonts w:ascii="Arial" w:hAnsi="Arial" w:cs="Arial"/>
                <w:sz w:val="24"/>
                <w:szCs w:val="24"/>
              </w:rPr>
              <w:t xml:space="preserve">Court can be asked to end a tenancy of an adapted property that is not being occupied by anyone who needs the adaptations. This only applies where the landlord requires the property for someone who does need the adaptations. Notice would be required and </w:t>
            </w:r>
            <w:r w:rsidRPr="00E44B70">
              <w:rPr>
                <w:rFonts w:ascii="Arial" w:hAnsi="Arial" w:cs="Arial"/>
                <w:sz w:val="24"/>
                <w:szCs w:val="24"/>
              </w:rPr>
              <w:lastRenderedPageBreak/>
              <w:t>suitable alternative accommodation would need to be offered.</w:t>
            </w:r>
          </w:p>
        </w:tc>
        <w:tc>
          <w:tcPr>
            <w:tcW w:w="0" w:type="auto"/>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lastRenderedPageBreak/>
              <w:t>Adapted properties cannot be recovered</w:t>
            </w:r>
          </w:p>
        </w:tc>
        <w:tc>
          <w:tcPr>
            <w:tcW w:w="0" w:type="auto"/>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N/A</w:t>
            </w:r>
          </w:p>
        </w:tc>
        <w:tc>
          <w:tcPr>
            <w:tcW w:w="2225" w:type="dxa"/>
            <w:vAlign w:val="center"/>
          </w:tcPr>
          <w:p w:rsidR="003D0CE0" w:rsidRPr="00E44B70" w:rsidRDefault="003D0CE0" w:rsidP="008F5DA7">
            <w:pPr>
              <w:jc w:val="center"/>
              <w:rPr>
                <w:rFonts w:ascii="Arial" w:hAnsi="Arial" w:cs="Arial"/>
                <w:sz w:val="24"/>
                <w:szCs w:val="24"/>
              </w:rPr>
            </w:pPr>
            <w:r w:rsidRPr="00E44B70">
              <w:rPr>
                <w:rFonts w:ascii="Arial" w:hAnsi="Arial" w:cs="Arial"/>
                <w:sz w:val="24"/>
                <w:szCs w:val="24"/>
              </w:rPr>
              <w:t>N/A</w:t>
            </w:r>
          </w:p>
        </w:tc>
      </w:tr>
    </w:tbl>
    <w:p w:rsidR="00F4226F" w:rsidRPr="00E44B70" w:rsidRDefault="00F4226F" w:rsidP="00E44B70">
      <w:pPr>
        <w:rPr>
          <w:rFonts w:ascii="Arial" w:hAnsi="Arial" w:cs="Arial"/>
          <w:b/>
          <w:sz w:val="24"/>
          <w:szCs w:val="24"/>
        </w:rPr>
      </w:pPr>
      <w:bookmarkStart w:id="0" w:name="_GoBack"/>
      <w:bookmarkEnd w:id="0"/>
    </w:p>
    <w:sectPr w:rsidR="00F4226F" w:rsidRPr="00E44B70" w:rsidSect="00E44B70">
      <w:footerReference w:type="default" r:id="rId9"/>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94" w:rsidRDefault="00BF1F94" w:rsidP="00BF1F94">
      <w:pPr>
        <w:spacing w:after="0" w:line="240" w:lineRule="auto"/>
      </w:pPr>
      <w:r>
        <w:separator/>
      </w:r>
    </w:p>
  </w:endnote>
  <w:endnote w:type="continuationSeparator" w:id="0">
    <w:p w:rsidR="00BF1F94" w:rsidRDefault="00BF1F94" w:rsidP="00BF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44158"/>
      <w:docPartObj>
        <w:docPartGallery w:val="Page Numbers (Bottom of Page)"/>
        <w:docPartUnique/>
      </w:docPartObj>
    </w:sdtPr>
    <w:sdtEndPr>
      <w:rPr>
        <w:noProof/>
      </w:rPr>
    </w:sdtEndPr>
    <w:sdtContent>
      <w:p w:rsidR="00BF1F94" w:rsidRDefault="00BF1F94">
        <w:pPr>
          <w:pStyle w:val="Footer"/>
          <w:jc w:val="right"/>
        </w:pPr>
        <w:r>
          <w:fldChar w:fldCharType="begin"/>
        </w:r>
        <w:r>
          <w:instrText xml:space="preserve"> PAGE   \* MERGEFORMAT </w:instrText>
        </w:r>
        <w:r>
          <w:fldChar w:fldCharType="separate"/>
        </w:r>
        <w:r w:rsidR="007D2012">
          <w:rPr>
            <w:noProof/>
          </w:rPr>
          <w:t>2</w:t>
        </w:r>
        <w:r>
          <w:rPr>
            <w:noProof/>
          </w:rPr>
          <w:fldChar w:fldCharType="end"/>
        </w:r>
      </w:p>
    </w:sdtContent>
  </w:sdt>
  <w:p w:rsidR="00BF1F94" w:rsidRDefault="00BF1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94" w:rsidRDefault="00BF1F94" w:rsidP="00BF1F94">
      <w:pPr>
        <w:spacing w:after="0" w:line="240" w:lineRule="auto"/>
      </w:pPr>
      <w:r>
        <w:separator/>
      </w:r>
    </w:p>
  </w:footnote>
  <w:footnote w:type="continuationSeparator" w:id="0">
    <w:p w:rsidR="00BF1F94" w:rsidRDefault="00BF1F94" w:rsidP="00BF1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A85"/>
    <w:multiLevelType w:val="hybridMultilevel"/>
    <w:tmpl w:val="9D60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40716F"/>
    <w:multiLevelType w:val="hybridMultilevel"/>
    <w:tmpl w:val="3528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A2"/>
    <w:rsid w:val="00011620"/>
    <w:rsid w:val="001904CF"/>
    <w:rsid w:val="0019466F"/>
    <w:rsid w:val="001E6136"/>
    <w:rsid w:val="001F09A1"/>
    <w:rsid w:val="00225603"/>
    <w:rsid w:val="002D2A83"/>
    <w:rsid w:val="002F020A"/>
    <w:rsid w:val="00397FF7"/>
    <w:rsid w:val="003B45B9"/>
    <w:rsid w:val="003D0CE0"/>
    <w:rsid w:val="003E7A04"/>
    <w:rsid w:val="003F21AA"/>
    <w:rsid w:val="00436C18"/>
    <w:rsid w:val="004407B7"/>
    <w:rsid w:val="004B3C57"/>
    <w:rsid w:val="004D0BB1"/>
    <w:rsid w:val="00523449"/>
    <w:rsid w:val="005F0C9E"/>
    <w:rsid w:val="00645963"/>
    <w:rsid w:val="006D6D6F"/>
    <w:rsid w:val="006F15B7"/>
    <w:rsid w:val="007D2012"/>
    <w:rsid w:val="007E43F0"/>
    <w:rsid w:val="00800C6F"/>
    <w:rsid w:val="008F5DA7"/>
    <w:rsid w:val="009509AA"/>
    <w:rsid w:val="009874F4"/>
    <w:rsid w:val="009B1EDA"/>
    <w:rsid w:val="009C1F65"/>
    <w:rsid w:val="009D22BD"/>
    <w:rsid w:val="009E3C09"/>
    <w:rsid w:val="00A34FCC"/>
    <w:rsid w:val="00A81BA2"/>
    <w:rsid w:val="00AC5972"/>
    <w:rsid w:val="00AD69C8"/>
    <w:rsid w:val="00B55B70"/>
    <w:rsid w:val="00BA6A16"/>
    <w:rsid w:val="00BF1F94"/>
    <w:rsid w:val="00BF269C"/>
    <w:rsid w:val="00BF4969"/>
    <w:rsid w:val="00C00FBC"/>
    <w:rsid w:val="00C066B1"/>
    <w:rsid w:val="00C11A3A"/>
    <w:rsid w:val="00C340C2"/>
    <w:rsid w:val="00D05065"/>
    <w:rsid w:val="00D24511"/>
    <w:rsid w:val="00D27FF8"/>
    <w:rsid w:val="00D469F7"/>
    <w:rsid w:val="00D62EBD"/>
    <w:rsid w:val="00D63095"/>
    <w:rsid w:val="00E44B70"/>
    <w:rsid w:val="00EA3BA6"/>
    <w:rsid w:val="00EF2789"/>
    <w:rsid w:val="00F24863"/>
    <w:rsid w:val="00F4226F"/>
    <w:rsid w:val="00F9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FBC"/>
    <w:pPr>
      <w:tabs>
        <w:tab w:val="left" w:pos="720"/>
        <w:tab w:val="left" w:pos="1440"/>
        <w:tab w:val="left" w:pos="2160"/>
        <w:tab w:val="left" w:pos="2880"/>
        <w:tab w:val="left" w:pos="4680"/>
        <w:tab w:val="left" w:pos="5400"/>
        <w:tab w:val="right" w:pos="9000"/>
      </w:tab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FBC"/>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6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095"/>
    <w:rPr>
      <w:rFonts w:ascii="Segoe UI" w:hAnsi="Segoe UI" w:cs="Segoe UI"/>
      <w:sz w:val="18"/>
      <w:szCs w:val="18"/>
    </w:rPr>
  </w:style>
  <w:style w:type="character" w:styleId="CommentReference">
    <w:name w:val="annotation reference"/>
    <w:basedOn w:val="DefaultParagraphFont"/>
    <w:uiPriority w:val="99"/>
    <w:semiHidden/>
    <w:unhideWhenUsed/>
    <w:rsid w:val="009874F4"/>
    <w:rPr>
      <w:sz w:val="16"/>
      <w:szCs w:val="16"/>
    </w:rPr>
  </w:style>
  <w:style w:type="paragraph" w:styleId="CommentText">
    <w:name w:val="annotation text"/>
    <w:basedOn w:val="Normal"/>
    <w:link w:val="CommentTextChar"/>
    <w:uiPriority w:val="99"/>
    <w:semiHidden/>
    <w:unhideWhenUsed/>
    <w:rsid w:val="009874F4"/>
    <w:pPr>
      <w:spacing w:line="240" w:lineRule="auto"/>
    </w:pPr>
    <w:rPr>
      <w:sz w:val="20"/>
      <w:szCs w:val="20"/>
    </w:rPr>
  </w:style>
  <w:style w:type="character" w:customStyle="1" w:styleId="CommentTextChar">
    <w:name w:val="Comment Text Char"/>
    <w:basedOn w:val="DefaultParagraphFont"/>
    <w:link w:val="CommentText"/>
    <w:uiPriority w:val="99"/>
    <w:semiHidden/>
    <w:rsid w:val="009874F4"/>
    <w:rPr>
      <w:sz w:val="20"/>
      <w:szCs w:val="20"/>
    </w:rPr>
  </w:style>
  <w:style w:type="paragraph" w:styleId="CommentSubject">
    <w:name w:val="annotation subject"/>
    <w:basedOn w:val="CommentText"/>
    <w:next w:val="CommentText"/>
    <w:link w:val="CommentSubjectChar"/>
    <w:uiPriority w:val="99"/>
    <w:semiHidden/>
    <w:unhideWhenUsed/>
    <w:rsid w:val="009874F4"/>
    <w:rPr>
      <w:b/>
      <w:bCs/>
    </w:rPr>
  </w:style>
  <w:style w:type="character" w:customStyle="1" w:styleId="CommentSubjectChar">
    <w:name w:val="Comment Subject Char"/>
    <w:basedOn w:val="CommentTextChar"/>
    <w:link w:val="CommentSubject"/>
    <w:uiPriority w:val="99"/>
    <w:semiHidden/>
    <w:rsid w:val="009874F4"/>
    <w:rPr>
      <w:b/>
      <w:bCs/>
      <w:sz w:val="20"/>
      <w:szCs w:val="20"/>
    </w:rPr>
  </w:style>
  <w:style w:type="paragraph" w:styleId="Header">
    <w:name w:val="header"/>
    <w:basedOn w:val="Normal"/>
    <w:link w:val="HeaderChar"/>
    <w:uiPriority w:val="99"/>
    <w:unhideWhenUsed/>
    <w:rsid w:val="00BF1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F94"/>
  </w:style>
  <w:style w:type="paragraph" w:styleId="Footer">
    <w:name w:val="footer"/>
    <w:basedOn w:val="Normal"/>
    <w:link w:val="FooterChar"/>
    <w:uiPriority w:val="99"/>
    <w:unhideWhenUsed/>
    <w:rsid w:val="00BF1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F94"/>
  </w:style>
  <w:style w:type="character" w:styleId="Hyperlink">
    <w:name w:val="Hyperlink"/>
    <w:basedOn w:val="DefaultParagraphFont"/>
    <w:uiPriority w:val="99"/>
    <w:unhideWhenUsed/>
    <w:rsid w:val="009C1F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FBC"/>
    <w:pPr>
      <w:tabs>
        <w:tab w:val="left" w:pos="720"/>
        <w:tab w:val="left" w:pos="1440"/>
        <w:tab w:val="left" w:pos="2160"/>
        <w:tab w:val="left" w:pos="2880"/>
        <w:tab w:val="left" w:pos="4680"/>
        <w:tab w:val="left" w:pos="5400"/>
        <w:tab w:val="right" w:pos="9000"/>
      </w:tab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FBC"/>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6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095"/>
    <w:rPr>
      <w:rFonts w:ascii="Segoe UI" w:hAnsi="Segoe UI" w:cs="Segoe UI"/>
      <w:sz w:val="18"/>
      <w:szCs w:val="18"/>
    </w:rPr>
  </w:style>
  <w:style w:type="character" w:styleId="CommentReference">
    <w:name w:val="annotation reference"/>
    <w:basedOn w:val="DefaultParagraphFont"/>
    <w:uiPriority w:val="99"/>
    <w:semiHidden/>
    <w:unhideWhenUsed/>
    <w:rsid w:val="009874F4"/>
    <w:rPr>
      <w:sz w:val="16"/>
      <w:szCs w:val="16"/>
    </w:rPr>
  </w:style>
  <w:style w:type="paragraph" w:styleId="CommentText">
    <w:name w:val="annotation text"/>
    <w:basedOn w:val="Normal"/>
    <w:link w:val="CommentTextChar"/>
    <w:uiPriority w:val="99"/>
    <w:semiHidden/>
    <w:unhideWhenUsed/>
    <w:rsid w:val="009874F4"/>
    <w:pPr>
      <w:spacing w:line="240" w:lineRule="auto"/>
    </w:pPr>
    <w:rPr>
      <w:sz w:val="20"/>
      <w:szCs w:val="20"/>
    </w:rPr>
  </w:style>
  <w:style w:type="character" w:customStyle="1" w:styleId="CommentTextChar">
    <w:name w:val="Comment Text Char"/>
    <w:basedOn w:val="DefaultParagraphFont"/>
    <w:link w:val="CommentText"/>
    <w:uiPriority w:val="99"/>
    <w:semiHidden/>
    <w:rsid w:val="009874F4"/>
    <w:rPr>
      <w:sz w:val="20"/>
      <w:szCs w:val="20"/>
    </w:rPr>
  </w:style>
  <w:style w:type="paragraph" w:styleId="CommentSubject">
    <w:name w:val="annotation subject"/>
    <w:basedOn w:val="CommentText"/>
    <w:next w:val="CommentText"/>
    <w:link w:val="CommentSubjectChar"/>
    <w:uiPriority w:val="99"/>
    <w:semiHidden/>
    <w:unhideWhenUsed/>
    <w:rsid w:val="009874F4"/>
    <w:rPr>
      <w:b/>
      <w:bCs/>
    </w:rPr>
  </w:style>
  <w:style w:type="character" w:customStyle="1" w:styleId="CommentSubjectChar">
    <w:name w:val="Comment Subject Char"/>
    <w:basedOn w:val="CommentTextChar"/>
    <w:link w:val="CommentSubject"/>
    <w:uiPriority w:val="99"/>
    <w:semiHidden/>
    <w:rsid w:val="009874F4"/>
    <w:rPr>
      <w:b/>
      <w:bCs/>
      <w:sz w:val="20"/>
      <w:szCs w:val="20"/>
    </w:rPr>
  </w:style>
  <w:style w:type="paragraph" w:styleId="Header">
    <w:name w:val="header"/>
    <w:basedOn w:val="Normal"/>
    <w:link w:val="HeaderChar"/>
    <w:uiPriority w:val="99"/>
    <w:unhideWhenUsed/>
    <w:rsid w:val="00BF1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F94"/>
  </w:style>
  <w:style w:type="paragraph" w:styleId="Footer">
    <w:name w:val="footer"/>
    <w:basedOn w:val="Normal"/>
    <w:link w:val="FooterChar"/>
    <w:uiPriority w:val="99"/>
    <w:unhideWhenUsed/>
    <w:rsid w:val="00BF1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F94"/>
  </w:style>
  <w:style w:type="character" w:styleId="Hyperlink">
    <w:name w:val="Hyperlink"/>
    <w:basedOn w:val="DefaultParagraphFont"/>
    <w:uiPriority w:val="99"/>
    <w:unhideWhenUsed/>
    <w:rsid w:val="009C1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4E2E7-338B-4DC4-86C6-F4A9B387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 McIntyre</dc:creator>
  <cp:lastModifiedBy>Suzanne Topcu</cp:lastModifiedBy>
  <cp:revision>4</cp:revision>
  <cp:lastPrinted>2018-08-27T15:54:00Z</cp:lastPrinted>
  <dcterms:created xsi:type="dcterms:W3CDTF">2018-10-29T09:46:00Z</dcterms:created>
  <dcterms:modified xsi:type="dcterms:W3CDTF">2018-10-29T16:47:00Z</dcterms:modified>
</cp:coreProperties>
</file>