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73" w:rsidRPr="008E6029" w:rsidRDefault="00D96273" w:rsidP="00C01048">
      <w:pPr>
        <w:rPr>
          <w:rFonts w:ascii="Arial" w:hAnsi="Arial" w:cs="Arial"/>
          <w:b/>
          <w:sz w:val="28"/>
          <w:szCs w:val="28"/>
        </w:rPr>
      </w:pPr>
      <w:bookmarkStart w:id="0" w:name="_GoBack"/>
      <w:bookmarkEnd w:id="0"/>
    </w:p>
    <w:p w:rsidR="0092351D" w:rsidRPr="00CD4A4B" w:rsidRDefault="0092351D" w:rsidP="008E6029">
      <w:pPr>
        <w:jc w:val="right"/>
        <w:rPr>
          <w:rFonts w:ascii="Arial" w:hAnsi="Arial" w:cs="Arial"/>
          <w:b/>
          <w:sz w:val="24"/>
          <w:szCs w:val="24"/>
        </w:rPr>
      </w:pPr>
      <w:r w:rsidRPr="00CD4A4B">
        <w:rPr>
          <w:rFonts w:ascii="Arial" w:hAnsi="Arial" w:cs="Arial"/>
          <w:b/>
          <w:noProof/>
          <w:sz w:val="24"/>
          <w:szCs w:val="24"/>
          <w:lang w:eastAsia="en-GB"/>
        </w:rPr>
        <w:drawing>
          <wp:inline distT="0" distB="0" distL="0" distR="0" wp14:anchorId="341050F4" wp14:editId="70FE62CD">
            <wp:extent cx="1438275" cy="1457325"/>
            <wp:effectExtent l="0" t="0" r="9525" b="9525"/>
            <wp:docPr id="1" name="Picture 1" descr="V:\Print and Publicity\Logos\Prop Logo b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int and Publicity\Logos\Prop Logo bw.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57325"/>
                    </a:xfrm>
                    <a:prstGeom prst="rect">
                      <a:avLst/>
                    </a:prstGeom>
                    <a:noFill/>
                    <a:ln>
                      <a:noFill/>
                    </a:ln>
                  </pic:spPr>
                </pic:pic>
              </a:graphicData>
            </a:graphic>
          </wp:inline>
        </w:drawing>
      </w:r>
    </w:p>
    <w:p w:rsidR="00232634" w:rsidRPr="00CD4A4B" w:rsidRDefault="000514C4" w:rsidP="0092351D">
      <w:pPr>
        <w:spacing w:after="0"/>
        <w:jc w:val="center"/>
        <w:rPr>
          <w:rFonts w:ascii="Arial" w:hAnsi="Arial" w:cs="Arial"/>
          <w:b/>
          <w:sz w:val="24"/>
          <w:szCs w:val="24"/>
        </w:rPr>
      </w:pPr>
      <w:r>
        <w:rPr>
          <w:rFonts w:ascii="Arial" w:hAnsi="Arial" w:cs="Arial"/>
          <w:b/>
          <w:sz w:val="24"/>
          <w:szCs w:val="24"/>
        </w:rPr>
        <w:t>ANNUAL REPORT TO OWNERS 2019.20</w:t>
      </w:r>
    </w:p>
    <w:p w:rsidR="005B7788" w:rsidRPr="00CD4A4B" w:rsidRDefault="0092351D" w:rsidP="0092351D">
      <w:pPr>
        <w:spacing w:after="0"/>
        <w:rPr>
          <w:rFonts w:ascii="Arial" w:hAnsi="Arial" w:cs="Arial"/>
          <w:sz w:val="24"/>
          <w:szCs w:val="24"/>
        </w:rPr>
      </w:pPr>
      <w:r w:rsidRPr="00CD4A4B">
        <w:rPr>
          <w:rFonts w:ascii="Arial" w:hAnsi="Arial" w:cs="Arial"/>
          <w:sz w:val="24"/>
          <w:szCs w:val="24"/>
        </w:rPr>
        <w:t>D</w:t>
      </w:r>
      <w:r w:rsidR="00232634" w:rsidRPr="00CD4A4B">
        <w:rPr>
          <w:rFonts w:ascii="Arial" w:hAnsi="Arial" w:cs="Arial"/>
          <w:sz w:val="24"/>
          <w:szCs w:val="24"/>
        </w:rPr>
        <w:t xml:space="preserve">ear Owner, </w:t>
      </w:r>
    </w:p>
    <w:p w:rsidR="0092351D" w:rsidRPr="00CD4A4B" w:rsidRDefault="0092351D" w:rsidP="0092351D">
      <w:pPr>
        <w:spacing w:after="0"/>
        <w:rPr>
          <w:rFonts w:ascii="Arial" w:hAnsi="Arial" w:cs="Arial"/>
          <w:sz w:val="24"/>
          <w:szCs w:val="24"/>
        </w:rPr>
      </w:pPr>
    </w:p>
    <w:p w:rsidR="007B54AB" w:rsidRPr="00CD4A4B" w:rsidRDefault="008C12EB" w:rsidP="0092351D">
      <w:pPr>
        <w:spacing w:after="0"/>
        <w:rPr>
          <w:rFonts w:ascii="Arial" w:hAnsi="Arial" w:cs="Arial"/>
          <w:sz w:val="24"/>
          <w:szCs w:val="24"/>
        </w:rPr>
      </w:pPr>
      <w:r w:rsidRPr="00CD4A4B">
        <w:rPr>
          <w:rFonts w:ascii="Arial" w:hAnsi="Arial" w:cs="Arial"/>
          <w:sz w:val="24"/>
          <w:szCs w:val="24"/>
        </w:rPr>
        <w:t>I am pleased to provide you with th</w:t>
      </w:r>
      <w:r w:rsidR="00002937" w:rsidRPr="00CD4A4B">
        <w:rPr>
          <w:rFonts w:ascii="Arial" w:hAnsi="Arial" w:cs="Arial"/>
          <w:sz w:val="24"/>
          <w:szCs w:val="24"/>
        </w:rPr>
        <w:t>e</w:t>
      </w:r>
      <w:r w:rsidRPr="00CD4A4B">
        <w:rPr>
          <w:rFonts w:ascii="Arial" w:hAnsi="Arial" w:cs="Arial"/>
          <w:sz w:val="24"/>
          <w:szCs w:val="24"/>
        </w:rPr>
        <w:t xml:space="preserve"> Annual Report to </w:t>
      </w:r>
      <w:r w:rsidR="00DB7B6D" w:rsidRPr="00CD4A4B">
        <w:rPr>
          <w:rFonts w:ascii="Arial" w:hAnsi="Arial" w:cs="Arial"/>
          <w:sz w:val="24"/>
          <w:szCs w:val="24"/>
        </w:rPr>
        <w:t>O</w:t>
      </w:r>
      <w:r w:rsidRPr="00CD4A4B">
        <w:rPr>
          <w:rFonts w:ascii="Arial" w:hAnsi="Arial" w:cs="Arial"/>
          <w:sz w:val="24"/>
          <w:szCs w:val="24"/>
        </w:rPr>
        <w:t>wners for the year 20</w:t>
      </w:r>
      <w:r w:rsidR="00C905CC">
        <w:rPr>
          <w:rFonts w:ascii="Arial" w:hAnsi="Arial" w:cs="Arial"/>
          <w:sz w:val="24"/>
          <w:szCs w:val="24"/>
        </w:rPr>
        <w:t>1</w:t>
      </w:r>
      <w:r w:rsidR="000514C4">
        <w:rPr>
          <w:rFonts w:ascii="Arial" w:hAnsi="Arial" w:cs="Arial"/>
          <w:sz w:val="24"/>
          <w:szCs w:val="24"/>
        </w:rPr>
        <w:t>9.20</w:t>
      </w:r>
      <w:r w:rsidR="007306E3" w:rsidRPr="00CD4A4B">
        <w:rPr>
          <w:rFonts w:ascii="Arial" w:hAnsi="Arial" w:cs="Arial"/>
          <w:sz w:val="24"/>
          <w:szCs w:val="24"/>
        </w:rPr>
        <w:t xml:space="preserve">. </w:t>
      </w:r>
      <w:r w:rsidR="00CD4A4B" w:rsidRPr="00CD4A4B">
        <w:rPr>
          <w:rFonts w:ascii="Arial" w:hAnsi="Arial" w:cs="Arial"/>
          <w:sz w:val="24"/>
          <w:szCs w:val="24"/>
        </w:rPr>
        <w:t xml:space="preserve">If you require this Report in an alternative format please let us know. </w:t>
      </w:r>
    </w:p>
    <w:p w:rsidR="00CD4A4B" w:rsidRPr="00CD4A4B" w:rsidRDefault="00CD4A4B" w:rsidP="0092351D">
      <w:pPr>
        <w:spacing w:after="0"/>
        <w:rPr>
          <w:rFonts w:ascii="Arial" w:hAnsi="Arial" w:cs="Arial"/>
          <w:sz w:val="24"/>
          <w:szCs w:val="24"/>
        </w:rPr>
      </w:pPr>
    </w:p>
    <w:p w:rsidR="00DB7B6D" w:rsidRPr="00CD4A4B" w:rsidRDefault="00002937" w:rsidP="0092351D">
      <w:pPr>
        <w:spacing w:after="0"/>
        <w:rPr>
          <w:rFonts w:ascii="Arial" w:hAnsi="Arial" w:cs="Arial"/>
          <w:sz w:val="24"/>
          <w:szCs w:val="24"/>
        </w:rPr>
      </w:pPr>
      <w:r w:rsidRPr="00CD4A4B">
        <w:rPr>
          <w:rFonts w:ascii="Arial" w:hAnsi="Arial" w:cs="Arial"/>
          <w:sz w:val="24"/>
          <w:szCs w:val="24"/>
        </w:rPr>
        <w:t xml:space="preserve">Paisley </w:t>
      </w:r>
      <w:r w:rsidR="00D7116A">
        <w:rPr>
          <w:rFonts w:ascii="Arial" w:hAnsi="Arial" w:cs="Arial"/>
          <w:sz w:val="24"/>
          <w:szCs w:val="24"/>
        </w:rPr>
        <w:t xml:space="preserve">South </w:t>
      </w:r>
      <w:r w:rsidRPr="00CD4A4B">
        <w:rPr>
          <w:rFonts w:ascii="Arial" w:hAnsi="Arial" w:cs="Arial"/>
          <w:sz w:val="24"/>
          <w:szCs w:val="24"/>
        </w:rPr>
        <w:t>Property Services is a subsidiary of Paisley Housing Association (PHA). The Association,</w:t>
      </w:r>
      <w:r w:rsidR="005547AE" w:rsidRPr="00CD4A4B">
        <w:rPr>
          <w:rFonts w:ascii="Arial" w:hAnsi="Arial" w:cs="Arial"/>
          <w:sz w:val="24"/>
          <w:szCs w:val="24"/>
        </w:rPr>
        <w:t xml:space="preserve"> </w:t>
      </w:r>
      <w:r w:rsidR="00232634" w:rsidRPr="00CD4A4B">
        <w:rPr>
          <w:rFonts w:ascii="Arial" w:hAnsi="Arial" w:cs="Arial"/>
          <w:sz w:val="24"/>
          <w:szCs w:val="24"/>
        </w:rPr>
        <w:t>as a Registered Social Landlord</w:t>
      </w:r>
      <w:r w:rsidR="005547AE" w:rsidRPr="00CD4A4B">
        <w:rPr>
          <w:rFonts w:ascii="Arial" w:hAnsi="Arial" w:cs="Arial"/>
          <w:sz w:val="24"/>
          <w:szCs w:val="24"/>
        </w:rPr>
        <w:t>,</w:t>
      </w:r>
      <w:r w:rsidR="00DB7B6D" w:rsidRPr="00CD4A4B">
        <w:rPr>
          <w:rFonts w:ascii="Arial" w:hAnsi="Arial" w:cs="Arial"/>
          <w:sz w:val="24"/>
          <w:szCs w:val="24"/>
        </w:rPr>
        <w:t xml:space="preserve"> is required </w:t>
      </w:r>
      <w:r w:rsidR="00232634" w:rsidRPr="00CD4A4B">
        <w:rPr>
          <w:rFonts w:ascii="Arial" w:hAnsi="Arial" w:cs="Arial"/>
          <w:sz w:val="24"/>
          <w:szCs w:val="24"/>
        </w:rPr>
        <w:t xml:space="preserve">to provide its customers with information </w:t>
      </w:r>
      <w:r w:rsidR="005547AE" w:rsidRPr="00CD4A4B">
        <w:rPr>
          <w:rFonts w:ascii="Arial" w:hAnsi="Arial" w:cs="Arial"/>
          <w:sz w:val="24"/>
          <w:szCs w:val="24"/>
        </w:rPr>
        <w:t xml:space="preserve">on </w:t>
      </w:r>
      <w:r w:rsidR="00232634" w:rsidRPr="00CD4A4B">
        <w:rPr>
          <w:rFonts w:ascii="Arial" w:hAnsi="Arial" w:cs="Arial"/>
          <w:sz w:val="24"/>
          <w:szCs w:val="24"/>
        </w:rPr>
        <w:t>its performance in achieving the standards &amp; outcomes of the Scottish Social Housing Charter.</w:t>
      </w:r>
      <w:r w:rsidR="00DB7B6D" w:rsidRPr="00CD4A4B">
        <w:rPr>
          <w:rFonts w:ascii="Arial" w:hAnsi="Arial" w:cs="Arial"/>
          <w:sz w:val="24"/>
          <w:szCs w:val="24"/>
        </w:rPr>
        <w:t xml:space="preserve"> </w:t>
      </w:r>
      <w:r w:rsidRPr="00CD4A4B">
        <w:rPr>
          <w:rFonts w:ascii="Arial" w:hAnsi="Arial" w:cs="Arial"/>
          <w:sz w:val="24"/>
          <w:szCs w:val="24"/>
        </w:rPr>
        <w:t xml:space="preserve">PSPS factored owners fall under “customers” in respects to the Charter. </w:t>
      </w:r>
    </w:p>
    <w:p w:rsidR="0092351D" w:rsidRPr="00CD4A4B" w:rsidRDefault="0092351D" w:rsidP="0092351D">
      <w:pPr>
        <w:spacing w:after="0"/>
        <w:rPr>
          <w:rFonts w:ascii="Arial" w:hAnsi="Arial" w:cs="Arial"/>
          <w:sz w:val="24"/>
          <w:szCs w:val="24"/>
        </w:rPr>
      </w:pPr>
    </w:p>
    <w:p w:rsidR="00D17C34" w:rsidRPr="00CD4A4B" w:rsidRDefault="000346F0" w:rsidP="0092351D">
      <w:pPr>
        <w:spacing w:after="0"/>
        <w:rPr>
          <w:rFonts w:ascii="Arial" w:hAnsi="Arial" w:cs="Arial"/>
          <w:sz w:val="24"/>
          <w:szCs w:val="24"/>
        </w:rPr>
      </w:pPr>
      <w:r w:rsidRPr="00CD4A4B">
        <w:rPr>
          <w:rFonts w:ascii="Arial" w:hAnsi="Arial" w:cs="Arial"/>
          <w:sz w:val="24"/>
          <w:szCs w:val="24"/>
        </w:rPr>
        <w:t xml:space="preserve">The </w:t>
      </w:r>
      <w:r w:rsidR="00AA0384" w:rsidRPr="00CD4A4B">
        <w:rPr>
          <w:rFonts w:ascii="Arial" w:hAnsi="Arial" w:cs="Arial"/>
          <w:sz w:val="24"/>
          <w:szCs w:val="24"/>
        </w:rPr>
        <w:t>Charter outcome</w:t>
      </w:r>
      <w:r w:rsidR="00002937" w:rsidRPr="00CD4A4B">
        <w:rPr>
          <w:rFonts w:ascii="Arial" w:hAnsi="Arial" w:cs="Arial"/>
          <w:sz w:val="24"/>
          <w:szCs w:val="24"/>
        </w:rPr>
        <w:t>s</w:t>
      </w:r>
      <w:r w:rsidR="00F21BF3" w:rsidRPr="00CD4A4B">
        <w:rPr>
          <w:rFonts w:ascii="Arial" w:hAnsi="Arial" w:cs="Arial"/>
          <w:sz w:val="24"/>
          <w:szCs w:val="24"/>
        </w:rPr>
        <w:t xml:space="preserve"> &amp; standard</w:t>
      </w:r>
      <w:r w:rsidR="00002937" w:rsidRPr="00CD4A4B">
        <w:rPr>
          <w:rFonts w:ascii="Arial" w:hAnsi="Arial" w:cs="Arial"/>
          <w:sz w:val="24"/>
          <w:szCs w:val="24"/>
        </w:rPr>
        <w:t xml:space="preserve">s which apply are: </w:t>
      </w:r>
      <w:r w:rsidR="00AA0384" w:rsidRPr="00CD4A4B">
        <w:rPr>
          <w:rFonts w:ascii="Arial" w:hAnsi="Arial" w:cs="Arial"/>
          <w:sz w:val="24"/>
          <w:szCs w:val="24"/>
        </w:rPr>
        <w:t xml:space="preserve"> </w:t>
      </w:r>
    </w:p>
    <w:p w:rsidR="00002937" w:rsidRPr="00CD4A4B" w:rsidRDefault="00002937" w:rsidP="00002937">
      <w:pPr>
        <w:pStyle w:val="BodyTextIndent"/>
        <w:ind w:left="0" w:firstLine="0"/>
        <w:jc w:val="left"/>
        <w:rPr>
          <w:rFonts w:ascii="Arial" w:hAnsi="Arial" w:cs="Arial"/>
          <w:b/>
          <w:szCs w:val="24"/>
        </w:rPr>
      </w:pPr>
      <w:r w:rsidRPr="00CD4A4B">
        <w:rPr>
          <w:rFonts w:ascii="Arial" w:hAnsi="Arial" w:cs="Arial"/>
          <w:b/>
          <w:szCs w:val="24"/>
        </w:rPr>
        <w:t xml:space="preserve">Indicator 1 Equalities  </w:t>
      </w:r>
    </w:p>
    <w:p w:rsidR="00002937" w:rsidRPr="00CD4A4B" w:rsidRDefault="00002937" w:rsidP="00002937">
      <w:pPr>
        <w:pStyle w:val="BodyTextIndent"/>
        <w:ind w:left="0" w:firstLine="0"/>
        <w:jc w:val="left"/>
        <w:rPr>
          <w:rFonts w:ascii="Arial" w:hAnsi="Arial" w:cs="Arial"/>
          <w:szCs w:val="24"/>
        </w:rPr>
      </w:pPr>
      <w:r w:rsidRPr="00CD4A4B">
        <w:rPr>
          <w:rFonts w:ascii="Arial" w:hAnsi="Arial" w:cs="Arial"/>
          <w:szCs w:val="24"/>
        </w:rPr>
        <w:t>Every tenant and other customer has their individual needs recognised, is treated fairly and with respect, and receives fair access to housing and housing services</w:t>
      </w:r>
    </w:p>
    <w:p w:rsidR="00002937" w:rsidRPr="00CD4A4B" w:rsidRDefault="00002937" w:rsidP="00002937">
      <w:pPr>
        <w:pStyle w:val="BodyTextIndent"/>
        <w:ind w:left="0" w:firstLine="0"/>
        <w:jc w:val="left"/>
        <w:rPr>
          <w:rFonts w:ascii="Arial" w:hAnsi="Arial" w:cs="Arial"/>
          <w:szCs w:val="24"/>
        </w:rPr>
      </w:pPr>
    </w:p>
    <w:p w:rsidR="00002937" w:rsidRPr="00CD4A4B" w:rsidRDefault="00002937" w:rsidP="00002937">
      <w:pPr>
        <w:pStyle w:val="BodyTextIndent"/>
        <w:jc w:val="left"/>
        <w:rPr>
          <w:rFonts w:ascii="Arial" w:hAnsi="Arial" w:cs="Arial"/>
          <w:b/>
          <w:szCs w:val="24"/>
        </w:rPr>
      </w:pPr>
      <w:r w:rsidRPr="00CD4A4B">
        <w:rPr>
          <w:rFonts w:ascii="Arial" w:hAnsi="Arial" w:cs="Arial"/>
          <w:b/>
          <w:szCs w:val="24"/>
        </w:rPr>
        <w:t>Indicator 2 Communication</w:t>
      </w:r>
    </w:p>
    <w:p w:rsidR="00002937" w:rsidRPr="00CD4A4B" w:rsidRDefault="00002937" w:rsidP="00002937">
      <w:pPr>
        <w:pStyle w:val="BodyTextIndent"/>
        <w:jc w:val="left"/>
        <w:rPr>
          <w:rFonts w:ascii="Arial" w:hAnsi="Arial" w:cs="Arial"/>
          <w:szCs w:val="24"/>
        </w:rPr>
      </w:pPr>
      <w:r w:rsidRPr="00CD4A4B">
        <w:rPr>
          <w:rFonts w:ascii="Arial" w:hAnsi="Arial" w:cs="Arial"/>
          <w:szCs w:val="24"/>
        </w:rPr>
        <w:t xml:space="preserve">Tenants and other customers find it easy to communicate with their landlord and get </w:t>
      </w:r>
    </w:p>
    <w:p w:rsidR="00002937" w:rsidRPr="00CD4A4B" w:rsidRDefault="00D7116A" w:rsidP="00002937">
      <w:pPr>
        <w:pStyle w:val="BodyTextIndent"/>
        <w:jc w:val="left"/>
        <w:rPr>
          <w:rFonts w:ascii="Arial" w:hAnsi="Arial" w:cs="Arial"/>
          <w:szCs w:val="24"/>
        </w:rPr>
      </w:pPr>
      <w:r>
        <w:rPr>
          <w:rFonts w:ascii="Arial" w:hAnsi="Arial" w:cs="Arial"/>
          <w:szCs w:val="24"/>
        </w:rPr>
        <w:t>t</w:t>
      </w:r>
      <w:r w:rsidR="00002937" w:rsidRPr="00CD4A4B">
        <w:rPr>
          <w:rFonts w:ascii="Arial" w:hAnsi="Arial" w:cs="Arial"/>
          <w:szCs w:val="24"/>
        </w:rPr>
        <w:t xml:space="preserve">he information they need about their landlord, how and why it makes decisions and </w:t>
      </w:r>
      <w:r>
        <w:rPr>
          <w:rFonts w:ascii="Arial" w:hAnsi="Arial" w:cs="Arial"/>
          <w:szCs w:val="24"/>
        </w:rPr>
        <w:t xml:space="preserve">the </w:t>
      </w:r>
      <w:r w:rsidR="00002937" w:rsidRPr="00CD4A4B">
        <w:rPr>
          <w:rFonts w:ascii="Arial" w:hAnsi="Arial" w:cs="Arial"/>
          <w:szCs w:val="24"/>
        </w:rPr>
        <w:t xml:space="preserve">services it </w:t>
      </w:r>
    </w:p>
    <w:p w:rsidR="00002937" w:rsidRPr="00CD4A4B" w:rsidRDefault="004364DA" w:rsidP="00002937">
      <w:pPr>
        <w:pStyle w:val="BodyTextIndent"/>
        <w:jc w:val="left"/>
        <w:rPr>
          <w:rFonts w:ascii="Arial" w:hAnsi="Arial" w:cs="Arial"/>
          <w:szCs w:val="24"/>
        </w:rPr>
      </w:pPr>
      <w:r w:rsidRPr="00CD4A4B">
        <w:rPr>
          <w:rFonts w:ascii="Arial" w:hAnsi="Arial" w:cs="Arial"/>
          <w:szCs w:val="24"/>
        </w:rPr>
        <w:t>p</w:t>
      </w:r>
      <w:r w:rsidR="00002937" w:rsidRPr="00CD4A4B">
        <w:rPr>
          <w:rFonts w:ascii="Arial" w:hAnsi="Arial" w:cs="Arial"/>
          <w:szCs w:val="24"/>
        </w:rPr>
        <w:t>rovides</w:t>
      </w:r>
      <w:r w:rsidRPr="00CD4A4B">
        <w:rPr>
          <w:rFonts w:ascii="Arial" w:hAnsi="Arial" w:cs="Arial"/>
          <w:szCs w:val="24"/>
        </w:rPr>
        <w:t>.</w:t>
      </w:r>
      <w:r w:rsidR="00002937" w:rsidRPr="00CD4A4B">
        <w:rPr>
          <w:rFonts w:ascii="Arial" w:hAnsi="Arial" w:cs="Arial"/>
          <w:szCs w:val="24"/>
        </w:rPr>
        <w:t xml:space="preserve"> </w:t>
      </w:r>
    </w:p>
    <w:p w:rsidR="00002937" w:rsidRPr="00CD4A4B" w:rsidRDefault="00002937" w:rsidP="00002937">
      <w:pPr>
        <w:pStyle w:val="BodyTextIndent"/>
        <w:jc w:val="left"/>
        <w:rPr>
          <w:rFonts w:ascii="Arial" w:hAnsi="Arial" w:cs="Arial"/>
          <w:szCs w:val="24"/>
        </w:rPr>
      </w:pPr>
    </w:p>
    <w:p w:rsidR="00002937" w:rsidRPr="00CD4A4B" w:rsidRDefault="00002937" w:rsidP="00002937">
      <w:pPr>
        <w:pStyle w:val="BodyTextIndent"/>
        <w:jc w:val="left"/>
        <w:rPr>
          <w:rFonts w:ascii="Arial" w:hAnsi="Arial" w:cs="Arial"/>
          <w:b/>
          <w:szCs w:val="24"/>
        </w:rPr>
      </w:pPr>
      <w:r w:rsidRPr="00CD4A4B">
        <w:rPr>
          <w:rFonts w:ascii="Arial" w:hAnsi="Arial" w:cs="Arial"/>
          <w:b/>
          <w:szCs w:val="24"/>
        </w:rPr>
        <w:t>Indicator 3 Participation</w:t>
      </w:r>
    </w:p>
    <w:p w:rsidR="00002937" w:rsidRPr="00CD4A4B" w:rsidRDefault="00002937" w:rsidP="00002937">
      <w:pPr>
        <w:pStyle w:val="BodyTextIndent"/>
        <w:jc w:val="left"/>
        <w:rPr>
          <w:rFonts w:ascii="Arial" w:hAnsi="Arial" w:cs="Arial"/>
          <w:szCs w:val="24"/>
        </w:rPr>
      </w:pPr>
      <w:r w:rsidRPr="00CD4A4B">
        <w:rPr>
          <w:rFonts w:ascii="Arial" w:hAnsi="Arial" w:cs="Arial"/>
          <w:szCs w:val="24"/>
        </w:rPr>
        <w:t xml:space="preserve">Tenants and other customers find it easy to participate in and influence their landlord’s decisions </w:t>
      </w:r>
    </w:p>
    <w:p w:rsidR="00002937" w:rsidRPr="00CD4A4B" w:rsidRDefault="00002937" w:rsidP="00002937">
      <w:pPr>
        <w:pStyle w:val="BodyTextIndent"/>
        <w:jc w:val="left"/>
        <w:rPr>
          <w:rFonts w:ascii="Arial" w:hAnsi="Arial" w:cs="Arial"/>
          <w:szCs w:val="24"/>
        </w:rPr>
      </w:pPr>
      <w:r w:rsidRPr="00CD4A4B">
        <w:rPr>
          <w:rFonts w:ascii="Arial" w:hAnsi="Arial" w:cs="Arial"/>
          <w:szCs w:val="24"/>
        </w:rPr>
        <w:t>at a l</w:t>
      </w:r>
      <w:r w:rsidR="00D7116A">
        <w:rPr>
          <w:rFonts w:ascii="Arial" w:hAnsi="Arial" w:cs="Arial"/>
          <w:szCs w:val="24"/>
        </w:rPr>
        <w:t>evel they feel comfortable with.</w:t>
      </w:r>
    </w:p>
    <w:p w:rsidR="00002937" w:rsidRPr="00CD4A4B" w:rsidRDefault="00002937" w:rsidP="00002937">
      <w:pPr>
        <w:pStyle w:val="BodyTextIndent"/>
        <w:jc w:val="left"/>
        <w:rPr>
          <w:rFonts w:ascii="Arial" w:hAnsi="Arial" w:cs="Arial"/>
          <w:szCs w:val="24"/>
        </w:rPr>
      </w:pPr>
    </w:p>
    <w:p w:rsidR="00002937" w:rsidRPr="00CD4A4B" w:rsidRDefault="00002937" w:rsidP="00002937">
      <w:pPr>
        <w:pStyle w:val="BodyTextIndent"/>
        <w:jc w:val="left"/>
        <w:rPr>
          <w:rFonts w:ascii="Arial" w:hAnsi="Arial" w:cs="Arial"/>
          <w:b/>
          <w:szCs w:val="24"/>
        </w:rPr>
      </w:pPr>
      <w:r w:rsidRPr="00CD4A4B">
        <w:rPr>
          <w:rFonts w:ascii="Arial" w:hAnsi="Arial" w:cs="Arial"/>
          <w:b/>
          <w:szCs w:val="24"/>
        </w:rPr>
        <w:t xml:space="preserve">Indicator 13 Value for Money </w:t>
      </w:r>
    </w:p>
    <w:p w:rsidR="0092351D" w:rsidRPr="00CD4A4B" w:rsidRDefault="00002937" w:rsidP="00002937">
      <w:pPr>
        <w:spacing w:after="0"/>
        <w:rPr>
          <w:rFonts w:ascii="Arial" w:hAnsi="Arial" w:cs="Arial"/>
          <w:sz w:val="24"/>
          <w:szCs w:val="24"/>
        </w:rPr>
      </w:pPr>
      <w:r w:rsidRPr="00CD4A4B">
        <w:rPr>
          <w:rFonts w:ascii="Arial" w:hAnsi="Arial" w:cs="Arial"/>
          <w:sz w:val="24"/>
          <w:szCs w:val="24"/>
        </w:rPr>
        <w:t>Tenants, owners and other customers receive services that provide continually improving value for the</w:t>
      </w:r>
      <w:r w:rsidR="00D7116A">
        <w:rPr>
          <w:rFonts w:ascii="Arial" w:hAnsi="Arial" w:cs="Arial"/>
          <w:sz w:val="24"/>
          <w:szCs w:val="24"/>
        </w:rPr>
        <w:t>ir</w:t>
      </w:r>
      <w:r w:rsidRPr="00CD4A4B">
        <w:rPr>
          <w:rFonts w:ascii="Arial" w:hAnsi="Arial" w:cs="Arial"/>
          <w:sz w:val="24"/>
          <w:szCs w:val="24"/>
        </w:rPr>
        <w:t xml:space="preserve"> rent and other charges they pay.</w:t>
      </w:r>
    </w:p>
    <w:p w:rsidR="004364DA" w:rsidRPr="00CD4A4B" w:rsidRDefault="00F73F51" w:rsidP="0092351D">
      <w:pPr>
        <w:spacing w:after="0"/>
        <w:rPr>
          <w:rFonts w:ascii="Arial" w:hAnsi="Arial" w:cs="Arial"/>
          <w:sz w:val="24"/>
          <w:szCs w:val="24"/>
        </w:rPr>
      </w:pPr>
      <w:r w:rsidRPr="00CD4A4B">
        <w:rPr>
          <w:rFonts w:ascii="Arial" w:hAnsi="Arial" w:cs="Arial"/>
          <w:sz w:val="24"/>
          <w:szCs w:val="24"/>
        </w:rPr>
        <w:t xml:space="preserve"> </w:t>
      </w:r>
      <w:r w:rsidR="004364DA" w:rsidRPr="00CD4A4B">
        <w:rPr>
          <w:rFonts w:ascii="Arial" w:hAnsi="Arial" w:cs="Arial"/>
          <w:b/>
          <w:sz w:val="24"/>
          <w:szCs w:val="24"/>
        </w:rPr>
        <w:t xml:space="preserve"> </w:t>
      </w:r>
    </w:p>
    <w:p w:rsidR="004364DA" w:rsidRPr="00CD4A4B" w:rsidRDefault="004364DA" w:rsidP="0092351D">
      <w:pPr>
        <w:spacing w:after="0"/>
        <w:rPr>
          <w:rFonts w:ascii="Arial" w:hAnsi="Arial" w:cs="Arial"/>
          <w:sz w:val="24"/>
          <w:szCs w:val="24"/>
        </w:rPr>
      </w:pPr>
      <w:r w:rsidRPr="00CD4A4B">
        <w:rPr>
          <w:rFonts w:ascii="Arial" w:hAnsi="Arial" w:cs="Arial"/>
          <w:sz w:val="24"/>
          <w:szCs w:val="24"/>
        </w:rPr>
        <w:t xml:space="preserve">To measure our performance in these areas we </w:t>
      </w:r>
      <w:r w:rsidR="00C905CC">
        <w:rPr>
          <w:rFonts w:ascii="Arial" w:hAnsi="Arial" w:cs="Arial"/>
          <w:sz w:val="24"/>
          <w:szCs w:val="24"/>
        </w:rPr>
        <w:t>complete an o</w:t>
      </w:r>
      <w:r w:rsidRPr="00CD4A4B">
        <w:rPr>
          <w:rFonts w:ascii="Arial" w:hAnsi="Arial" w:cs="Arial"/>
          <w:sz w:val="24"/>
          <w:szCs w:val="24"/>
        </w:rPr>
        <w:t>wner’s satisfaction survey, inviting all owners to participate</w:t>
      </w:r>
      <w:r w:rsidR="00C905CC">
        <w:rPr>
          <w:rFonts w:ascii="Arial" w:hAnsi="Arial" w:cs="Arial"/>
          <w:sz w:val="24"/>
          <w:szCs w:val="24"/>
        </w:rPr>
        <w:t xml:space="preserve"> every 3 years</w:t>
      </w:r>
      <w:r w:rsidRPr="00CD4A4B">
        <w:rPr>
          <w:rFonts w:ascii="Arial" w:hAnsi="Arial" w:cs="Arial"/>
          <w:sz w:val="24"/>
          <w:szCs w:val="24"/>
        </w:rPr>
        <w:t xml:space="preserve">. </w:t>
      </w:r>
      <w:r w:rsidR="005D428B">
        <w:rPr>
          <w:rFonts w:ascii="Arial" w:hAnsi="Arial" w:cs="Arial"/>
          <w:sz w:val="24"/>
          <w:szCs w:val="24"/>
        </w:rPr>
        <w:t>For our</w:t>
      </w:r>
      <w:r w:rsidR="00E13498">
        <w:rPr>
          <w:rFonts w:ascii="Arial" w:hAnsi="Arial" w:cs="Arial"/>
          <w:sz w:val="24"/>
          <w:szCs w:val="24"/>
        </w:rPr>
        <w:t xml:space="preserve"> 201</w:t>
      </w:r>
      <w:r w:rsidR="00610ACC">
        <w:rPr>
          <w:rFonts w:ascii="Arial" w:hAnsi="Arial" w:cs="Arial"/>
          <w:sz w:val="24"/>
          <w:szCs w:val="24"/>
        </w:rPr>
        <w:t>9</w:t>
      </w:r>
      <w:r w:rsidR="00E13498">
        <w:rPr>
          <w:rFonts w:ascii="Arial" w:hAnsi="Arial" w:cs="Arial"/>
          <w:sz w:val="24"/>
          <w:szCs w:val="24"/>
        </w:rPr>
        <w:t xml:space="preserve"> survey w</w:t>
      </w:r>
      <w:r w:rsidRPr="00CD4A4B">
        <w:rPr>
          <w:rFonts w:ascii="Arial" w:hAnsi="Arial" w:cs="Arial"/>
          <w:sz w:val="24"/>
          <w:szCs w:val="24"/>
        </w:rPr>
        <w:t xml:space="preserve">e received </w:t>
      </w:r>
      <w:r w:rsidR="00610ACC">
        <w:rPr>
          <w:rFonts w:ascii="Arial" w:hAnsi="Arial" w:cs="Arial"/>
          <w:sz w:val="24"/>
          <w:szCs w:val="24"/>
        </w:rPr>
        <w:t>50</w:t>
      </w:r>
      <w:r w:rsidRPr="00CD4A4B">
        <w:rPr>
          <w:rFonts w:ascii="Arial" w:hAnsi="Arial" w:cs="Arial"/>
          <w:sz w:val="24"/>
          <w:szCs w:val="24"/>
        </w:rPr>
        <w:t xml:space="preserve"> responses which </w:t>
      </w:r>
      <w:r w:rsidR="00E13498" w:rsidRPr="00CD4A4B">
        <w:rPr>
          <w:rFonts w:ascii="Arial" w:hAnsi="Arial" w:cs="Arial"/>
          <w:sz w:val="24"/>
          <w:szCs w:val="24"/>
        </w:rPr>
        <w:t>represent</w:t>
      </w:r>
      <w:r w:rsidR="00007B14">
        <w:rPr>
          <w:rFonts w:ascii="Arial" w:hAnsi="Arial" w:cs="Arial"/>
          <w:sz w:val="24"/>
          <w:szCs w:val="24"/>
        </w:rPr>
        <w:t>ed</w:t>
      </w:r>
      <w:r w:rsidRPr="00CD4A4B">
        <w:rPr>
          <w:rFonts w:ascii="Arial" w:hAnsi="Arial" w:cs="Arial"/>
          <w:sz w:val="24"/>
          <w:szCs w:val="24"/>
        </w:rPr>
        <w:t xml:space="preserve"> </w:t>
      </w:r>
      <w:r w:rsidR="00610ACC">
        <w:rPr>
          <w:rFonts w:ascii="Arial" w:hAnsi="Arial" w:cs="Arial"/>
          <w:sz w:val="24"/>
          <w:szCs w:val="24"/>
        </w:rPr>
        <w:t>18</w:t>
      </w:r>
      <w:r w:rsidRPr="00CD4A4B">
        <w:rPr>
          <w:rFonts w:ascii="Arial" w:hAnsi="Arial" w:cs="Arial"/>
          <w:sz w:val="24"/>
          <w:szCs w:val="24"/>
        </w:rPr>
        <w:t xml:space="preserve">% </w:t>
      </w:r>
      <w:r w:rsidR="00007B14" w:rsidRPr="00CD4A4B">
        <w:rPr>
          <w:rFonts w:ascii="Arial" w:hAnsi="Arial" w:cs="Arial"/>
          <w:sz w:val="24"/>
          <w:szCs w:val="24"/>
        </w:rPr>
        <w:t xml:space="preserve">of </w:t>
      </w:r>
      <w:r w:rsidR="00007B14">
        <w:rPr>
          <w:rFonts w:ascii="Arial" w:hAnsi="Arial" w:cs="Arial"/>
          <w:sz w:val="24"/>
          <w:szCs w:val="24"/>
        </w:rPr>
        <w:t>factored</w:t>
      </w:r>
      <w:r w:rsidRPr="00CD4A4B">
        <w:rPr>
          <w:rFonts w:ascii="Arial" w:hAnsi="Arial" w:cs="Arial"/>
          <w:sz w:val="24"/>
          <w:szCs w:val="24"/>
        </w:rPr>
        <w:t xml:space="preserve"> owners.  </w:t>
      </w:r>
    </w:p>
    <w:p w:rsidR="004364DA" w:rsidRPr="00CD4A4B" w:rsidRDefault="004364DA" w:rsidP="000703FA">
      <w:pPr>
        <w:spacing w:after="0"/>
        <w:rPr>
          <w:rFonts w:ascii="Arial" w:hAnsi="Arial" w:cs="Arial"/>
          <w:sz w:val="24"/>
          <w:szCs w:val="24"/>
        </w:rPr>
      </w:pPr>
    </w:p>
    <w:p w:rsidR="000703FA" w:rsidRDefault="00007B14" w:rsidP="000703FA">
      <w:pPr>
        <w:spacing w:after="0"/>
        <w:rPr>
          <w:rFonts w:ascii="Arial" w:hAnsi="Arial" w:cs="Arial"/>
          <w:sz w:val="24"/>
          <w:szCs w:val="24"/>
        </w:rPr>
      </w:pPr>
      <w:r>
        <w:rPr>
          <w:rFonts w:ascii="Arial" w:hAnsi="Arial" w:cs="Arial"/>
          <w:sz w:val="24"/>
          <w:szCs w:val="24"/>
        </w:rPr>
        <w:t xml:space="preserve">We report on </w:t>
      </w:r>
      <w:r w:rsidR="005D428B">
        <w:rPr>
          <w:rFonts w:ascii="Arial" w:hAnsi="Arial" w:cs="Arial"/>
          <w:sz w:val="24"/>
          <w:szCs w:val="24"/>
        </w:rPr>
        <w:t>our factoring performance ann</w:t>
      </w:r>
      <w:r>
        <w:rPr>
          <w:rFonts w:ascii="Arial" w:hAnsi="Arial" w:cs="Arial"/>
          <w:sz w:val="24"/>
          <w:szCs w:val="24"/>
        </w:rPr>
        <w:t xml:space="preserve">ually </w:t>
      </w:r>
      <w:r w:rsidR="005D428B">
        <w:rPr>
          <w:rFonts w:ascii="Arial" w:hAnsi="Arial" w:cs="Arial"/>
          <w:sz w:val="24"/>
          <w:szCs w:val="24"/>
        </w:rPr>
        <w:t xml:space="preserve">to the Scottish housing Regulator </w:t>
      </w:r>
      <w:r>
        <w:rPr>
          <w:rFonts w:ascii="Arial" w:hAnsi="Arial" w:cs="Arial"/>
          <w:sz w:val="24"/>
          <w:szCs w:val="24"/>
        </w:rPr>
        <w:t xml:space="preserve">in our Annual Return on the Charter. The table below provides this information along </w:t>
      </w:r>
      <w:r w:rsidR="005D428B">
        <w:rPr>
          <w:rFonts w:ascii="Arial" w:hAnsi="Arial" w:cs="Arial"/>
          <w:sz w:val="24"/>
          <w:szCs w:val="24"/>
        </w:rPr>
        <w:t>with the</w:t>
      </w:r>
      <w:r w:rsidR="00D17C34" w:rsidRPr="00CD4A4B">
        <w:rPr>
          <w:rFonts w:ascii="Arial" w:hAnsi="Arial" w:cs="Arial"/>
          <w:sz w:val="24"/>
          <w:szCs w:val="24"/>
        </w:rPr>
        <w:t xml:space="preserve"> </w:t>
      </w:r>
      <w:r w:rsidR="0051519F" w:rsidRPr="00CD4A4B">
        <w:rPr>
          <w:rFonts w:ascii="Arial" w:hAnsi="Arial" w:cs="Arial"/>
          <w:sz w:val="24"/>
          <w:szCs w:val="24"/>
        </w:rPr>
        <w:t>Scottish Average</w:t>
      </w:r>
      <w:r w:rsidR="004364DA" w:rsidRPr="00CD4A4B">
        <w:rPr>
          <w:rFonts w:ascii="Arial" w:hAnsi="Arial" w:cs="Arial"/>
          <w:sz w:val="24"/>
          <w:szCs w:val="24"/>
        </w:rPr>
        <w:t xml:space="preserve"> </w:t>
      </w:r>
      <w:r w:rsidR="00D17C34" w:rsidRPr="00CD4A4B">
        <w:rPr>
          <w:rFonts w:ascii="Arial" w:hAnsi="Arial" w:cs="Arial"/>
          <w:sz w:val="24"/>
          <w:szCs w:val="24"/>
        </w:rPr>
        <w:t xml:space="preserve">and </w:t>
      </w:r>
      <w:r>
        <w:rPr>
          <w:rFonts w:ascii="Arial" w:hAnsi="Arial" w:cs="Arial"/>
          <w:sz w:val="24"/>
          <w:szCs w:val="24"/>
        </w:rPr>
        <w:t xml:space="preserve">information </w:t>
      </w:r>
      <w:r w:rsidR="0051519F" w:rsidRPr="00CD4A4B">
        <w:rPr>
          <w:rFonts w:ascii="Arial" w:hAnsi="Arial" w:cs="Arial"/>
          <w:sz w:val="24"/>
          <w:szCs w:val="24"/>
        </w:rPr>
        <w:t>from another Housing Association in Paisley, Williamsburgh Housing Association (WHA)</w:t>
      </w:r>
      <w:r w:rsidR="000703FA" w:rsidRPr="00CD4A4B">
        <w:rPr>
          <w:rFonts w:ascii="Arial" w:hAnsi="Arial" w:cs="Arial"/>
          <w:sz w:val="24"/>
          <w:szCs w:val="24"/>
        </w:rPr>
        <w:t>,</w:t>
      </w:r>
      <w:r w:rsidR="0051519F" w:rsidRPr="00CD4A4B">
        <w:rPr>
          <w:rFonts w:ascii="Arial" w:hAnsi="Arial" w:cs="Arial"/>
          <w:sz w:val="24"/>
          <w:szCs w:val="24"/>
        </w:rPr>
        <w:t xml:space="preserve"> who also </w:t>
      </w:r>
      <w:r w:rsidR="004364DA" w:rsidRPr="00CD4A4B">
        <w:rPr>
          <w:rFonts w:ascii="Arial" w:hAnsi="Arial" w:cs="Arial"/>
          <w:sz w:val="24"/>
          <w:szCs w:val="24"/>
        </w:rPr>
        <w:t>act</w:t>
      </w:r>
      <w:r w:rsidR="005D428B">
        <w:rPr>
          <w:rFonts w:ascii="Arial" w:hAnsi="Arial" w:cs="Arial"/>
          <w:sz w:val="24"/>
          <w:szCs w:val="24"/>
        </w:rPr>
        <w:t>s</w:t>
      </w:r>
      <w:r w:rsidR="004364DA" w:rsidRPr="00CD4A4B">
        <w:rPr>
          <w:rFonts w:ascii="Arial" w:hAnsi="Arial" w:cs="Arial"/>
          <w:sz w:val="24"/>
          <w:szCs w:val="24"/>
        </w:rPr>
        <w:t xml:space="preserve"> as a factor</w:t>
      </w:r>
      <w:r w:rsidR="0051519F" w:rsidRPr="00CD4A4B">
        <w:rPr>
          <w:rFonts w:ascii="Arial" w:hAnsi="Arial" w:cs="Arial"/>
          <w:sz w:val="24"/>
          <w:szCs w:val="24"/>
        </w:rPr>
        <w:t xml:space="preserve">. </w:t>
      </w:r>
      <w:r w:rsidR="00E07B52">
        <w:rPr>
          <w:rFonts w:ascii="Arial" w:hAnsi="Arial" w:cs="Arial"/>
          <w:sz w:val="24"/>
          <w:szCs w:val="24"/>
        </w:rPr>
        <w:t>You can also</w:t>
      </w:r>
      <w:r w:rsidR="004364DA" w:rsidRPr="00CD4A4B">
        <w:rPr>
          <w:rFonts w:ascii="Arial" w:hAnsi="Arial" w:cs="Arial"/>
          <w:sz w:val="24"/>
          <w:szCs w:val="24"/>
        </w:rPr>
        <w:t xml:space="preserve"> compare us to </w:t>
      </w:r>
      <w:r w:rsidR="000703FA" w:rsidRPr="00CD4A4B">
        <w:rPr>
          <w:rFonts w:ascii="Arial" w:hAnsi="Arial" w:cs="Arial"/>
          <w:sz w:val="24"/>
          <w:szCs w:val="24"/>
        </w:rPr>
        <w:t xml:space="preserve">any other Housing Association </w:t>
      </w:r>
      <w:r w:rsidR="007224FA" w:rsidRPr="00CD4A4B">
        <w:rPr>
          <w:rFonts w:ascii="Arial" w:hAnsi="Arial" w:cs="Arial"/>
          <w:sz w:val="24"/>
          <w:szCs w:val="24"/>
        </w:rPr>
        <w:t xml:space="preserve">who provides a factoring service </w:t>
      </w:r>
      <w:r w:rsidR="000703FA" w:rsidRPr="00CD4A4B">
        <w:rPr>
          <w:rFonts w:ascii="Arial" w:hAnsi="Arial" w:cs="Arial"/>
          <w:sz w:val="24"/>
          <w:szCs w:val="24"/>
        </w:rPr>
        <w:t xml:space="preserve">through the Scottish Housing Regulator’s Website: </w:t>
      </w:r>
      <w:hyperlink r:id="rId9" w:history="1">
        <w:r w:rsidR="000703FA" w:rsidRPr="00CD4A4B">
          <w:rPr>
            <w:rStyle w:val="Hyperlink"/>
            <w:rFonts w:ascii="Arial" w:hAnsi="Arial" w:cs="Arial"/>
            <w:sz w:val="24"/>
            <w:szCs w:val="24"/>
          </w:rPr>
          <w:t>www.scottishhousingregulator.gov</w:t>
        </w:r>
      </w:hyperlink>
      <w:r w:rsidR="000703FA" w:rsidRPr="00CD4A4B">
        <w:rPr>
          <w:rFonts w:ascii="Arial" w:hAnsi="Arial" w:cs="Arial"/>
          <w:sz w:val="24"/>
          <w:szCs w:val="24"/>
        </w:rPr>
        <w:t>.</w:t>
      </w:r>
    </w:p>
    <w:p w:rsidR="000514C4" w:rsidRPr="00CD4A4B" w:rsidRDefault="000514C4" w:rsidP="000703FA">
      <w:pPr>
        <w:spacing w:after="0"/>
        <w:rPr>
          <w:rFonts w:ascii="Arial" w:hAnsi="Arial" w:cs="Arial"/>
          <w:sz w:val="24"/>
          <w:szCs w:val="24"/>
        </w:rPr>
      </w:pPr>
    </w:p>
    <w:p w:rsidR="0092351D" w:rsidRPr="00CD4A4B" w:rsidRDefault="0092351D" w:rsidP="0092351D">
      <w:pPr>
        <w:spacing w:after="0"/>
        <w:rPr>
          <w:rFonts w:ascii="Arial" w:hAnsi="Arial" w:cs="Arial"/>
          <w:sz w:val="24"/>
          <w:szCs w:val="24"/>
        </w:rPr>
      </w:pPr>
    </w:p>
    <w:tbl>
      <w:tblPr>
        <w:tblStyle w:val="TableGrid"/>
        <w:tblW w:w="10173" w:type="dxa"/>
        <w:tblLook w:val="04A0" w:firstRow="1" w:lastRow="0" w:firstColumn="1" w:lastColumn="0" w:noHBand="0" w:noVBand="1"/>
      </w:tblPr>
      <w:tblGrid>
        <w:gridCol w:w="6250"/>
        <w:gridCol w:w="1274"/>
        <w:gridCol w:w="1377"/>
        <w:gridCol w:w="1272"/>
      </w:tblGrid>
      <w:tr w:rsidR="00F80FF0" w:rsidRPr="00CD4A4B" w:rsidTr="007E3BF7">
        <w:tc>
          <w:tcPr>
            <w:tcW w:w="6250" w:type="dxa"/>
          </w:tcPr>
          <w:p w:rsidR="00F80FF0" w:rsidRPr="00007B14" w:rsidRDefault="00F80FF0" w:rsidP="0092351D">
            <w:pPr>
              <w:rPr>
                <w:rFonts w:ascii="Arial" w:hAnsi="Arial" w:cs="Arial"/>
                <w:b/>
              </w:rPr>
            </w:pPr>
            <w:r w:rsidRPr="00007B14">
              <w:rPr>
                <w:rFonts w:ascii="Arial" w:hAnsi="Arial" w:cs="Arial"/>
                <w:b/>
              </w:rPr>
              <w:t xml:space="preserve">Performance  </w:t>
            </w:r>
          </w:p>
        </w:tc>
        <w:tc>
          <w:tcPr>
            <w:tcW w:w="1274" w:type="dxa"/>
          </w:tcPr>
          <w:p w:rsidR="00F80FF0" w:rsidRPr="00007B14" w:rsidRDefault="00F80FF0" w:rsidP="0092351D">
            <w:pPr>
              <w:rPr>
                <w:rFonts w:ascii="Arial" w:hAnsi="Arial" w:cs="Arial"/>
                <w:b/>
              </w:rPr>
            </w:pPr>
            <w:r w:rsidRPr="00007B14">
              <w:rPr>
                <w:rFonts w:ascii="Arial" w:hAnsi="Arial" w:cs="Arial"/>
                <w:b/>
              </w:rPr>
              <w:t xml:space="preserve">PSPS  </w:t>
            </w:r>
          </w:p>
        </w:tc>
        <w:tc>
          <w:tcPr>
            <w:tcW w:w="1377" w:type="dxa"/>
          </w:tcPr>
          <w:p w:rsidR="00031C3F" w:rsidRPr="00007B14" w:rsidRDefault="00F80FF0" w:rsidP="008A4297">
            <w:pPr>
              <w:rPr>
                <w:rFonts w:ascii="Arial" w:hAnsi="Arial" w:cs="Arial"/>
                <w:b/>
              </w:rPr>
            </w:pPr>
            <w:r w:rsidRPr="00007B14">
              <w:rPr>
                <w:rFonts w:ascii="Arial" w:hAnsi="Arial" w:cs="Arial"/>
                <w:b/>
              </w:rPr>
              <w:t>Scottish Average</w:t>
            </w:r>
          </w:p>
          <w:p w:rsidR="00F80FF0" w:rsidRPr="00007B14" w:rsidRDefault="00031C3F" w:rsidP="008A4297">
            <w:pPr>
              <w:rPr>
                <w:rFonts w:ascii="Arial" w:hAnsi="Arial" w:cs="Arial"/>
                <w:b/>
              </w:rPr>
            </w:pPr>
            <w:r w:rsidRPr="00007B14">
              <w:rPr>
                <w:rFonts w:ascii="Arial" w:hAnsi="Arial" w:cs="Arial"/>
                <w:b/>
              </w:rPr>
              <w:t>( all landlords)</w:t>
            </w:r>
            <w:r w:rsidR="00F80FF0" w:rsidRPr="00007B14">
              <w:rPr>
                <w:rFonts w:ascii="Arial" w:hAnsi="Arial" w:cs="Arial"/>
                <w:b/>
              </w:rPr>
              <w:t xml:space="preserve"> </w:t>
            </w:r>
          </w:p>
        </w:tc>
        <w:tc>
          <w:tcPr>
            <w:tcW w:w="1272" w:type="dxa"/>
          </w:tcPr>
          <w:p w:rsidR="00F80FF0" w:rsidRPr="00007B14" w:rsidRDefault="00F80FF0" w:rsidP="008A4297">
            <w:pPr>
              <w:rPr>
                <w:rFonts w:ascii="Arial" w:hAnsi="Arial" w:cs="Arial"/>
                <w:b/>
              </w:rPr>
            </w:pPr>
            <w:r w:rsidRPr="00007B14">
              <w:rPr>
                <w:rFonts w:ascii="Arial" w:hAnsi="Arial" w:cs="Arial"/>
                <w:b/>
              </w:rPr>
              <w:t>WHA</w:t>
            </w:r>
          </w:p>
        </w:tc>
      </w:tr>
      <w:tr w:rsidR="00F80FF0" w:rsidRPr="00CD4A4B" w:rsidTr="007E3BF7">
        <w:tc>
          <w:tcPr>
            <w:tcW w:w="6250" w:type="dxa"/>
          </w:tcPr>
          <w:p w:rsidR="00610ACC" w:rsidRPr="00007B14" w:rsidRDefault="00F80FF0" w:rsidP="00D235C9">
            <w:pPr>
              <w:rPr>
                <w:rFonts w:ascii="Arial" w:hAnsi="Arial" w:cs="Arial"/>
              </w:rPr>
            </w:pPr>
            <w:r w:rsidRPr="00007B14">
              <w:rPr>
                <w:rFonts w:ascii="Arial" w:hAnsi="Arial" w:cs="Arial"/>
              </w:rPr>
              <w:t>The % of factored owners satisfied with the factoring service</w:t>
            </w:r>
            <w:r w:rsidR="00610ACC" w:rsidRPr="00007B14">
              <w:rPr>
                <w:rFonts w:ascii="Arial" w:hAnsi="Arial" w:cs="Arial"/>
              </w:rPr>
              <w:t xml:space="preserve"> </w:t>
            </w:r>
          </w:p>
          <w:p w:rsidR="00F80FF0" w:rsidRPr="00007B14" w:rsidRDefault="00610ACC" w:rsidP="00D235C9">
            <w:pPr>
              <w:rPr>
                <w:rFonts w:ascii="Arial" w:hAnsi="Arial" w:cs="Arial"/>
              </w:rPr>
            </w:pPr>
            <w:r w:rsidRPr="00007B14">
              <w:rPr>
                <w:rFonts w:ascii="Arial" w:hAnsi="Arial" w:cs="Arial"/>
              </w:rPr>
              <w:t xml:space="preserve">( Reported in our Annual Return to the Scottish Housing Regulator) </w:t>
            </w:r>
          </w:p>
          <w:p w:rsidR="00F80FF0" w:rsidRPr="00007B14" w:rsidRDefault="00F80FF0" w:rsidP="0092351D">
            <w:pPr>
              <w:rPr>
                <w:rFonts w:ascii="Arial" w:hAnsi="Arial" w:cs="Arial"/>
              </w:rPr>
            </w:pPr>
          </w:p>
        </w:tc>
        <w:tc>
          <w:tcPr>
            <w:tcW w:w="1274" w:type="dxa"/>
          </w:tcPr>
          <w:p w:rsidR="00F80FF0" w:rsidRPr="00007B14" w:rsidRDefault="00F80FF0" w:rsidP="00C905CC">
            <w:pPr>
              <w:rPr>
                <w:rFonts w:ascii="Arial" w:hAnsi="Arial" w:cs="Arial"/>
              </w:rPr>
            </w:pPr>
            <w:r w:rsidRPr="00007B14">
              <w:rPr>
                <w:rFonts w:ascii="Arial" w:hAnsi="Arial" w:cs="Arial"/>
              </w:rPr>
              <w:t>89</w:t>
            </w:r>
            <w:r w:rsidR="005F72B6" w:rsidRPr="00007B14">
              <w:rPr>
                <w:rFonts w:ascii="Arial" w:hAnsi="Arial" w:cs="Arial"/>
              </w:rPr>
              <w:t>.36</w:t>
            </w:r>
            <w:r w:rsidRPr="00007B14">
              <w:rPr>
                <w:rFonts w:ascii="Arial" w:hAnsi="Arial" w:cs="Arial"/>
              </w:rPr>
              <w:t>%</w:t>
            </w:r>
          </w:p>
        </w:tc>
        <w:tc>
          <w:tcPr>
            <w:tcW w:w="1377" w:type="dxa"/>
          </w:tcPr>
          <w:p w:rsidR="00F80FF0" w:rsidRPr="00007B14" w:rsidRDefault="005F72B6" w:rsidP="008A4297">
            <w:pPr>
              <w:rPr>
                <w:rFonts w:ascii="Arial" w:hAnsi="Arial" w:cs="Arial"/>
              </w:rPr>
            </w:pPr>
            <w:r w:rsidRPr="00007B14">
              <w:rPr>
                <w:rFonts w:ascii="Arial" w:hAnsi="Arial" w:cs="Arial"/>
              </w:rPr>
              <w:t>68.1</w:t>
            </w:r>
            <w:r w:rsidR="00F80FF0" w:rsidRPr="00007B14">
              <w:rPr>
                <w:rFonts w:ascii="Arial" w:hAnsi="Arial" w:cs="Arial"/>
              </w:rPr>
              <w:t>%</w:t>
            </w:r>
          </w:p>
        </w:tc>
        <w:tc>
          <w:tcPr>
            <w:tcW w:w="1272" w:type="dxa"/>
          </w:tcPr>
          <w:p w:rsidR="00F80FF0" w:rsidRPr="00007B14" w:rsidRDefault="005F72B6" w:rsidP="008A4297">
            <w:pPr>
              <w:rPr>
                <w:rFonts w:ascii="Arial" w:hAnsi="Arial" w:cs="Arial"/>
              </w:rPr>
            </w:pPr>
            <w:r w:rsidRPr="00007B14">
              <w:rPr>
                <w:rFonts w:ascii="Arial" w:hAnsi="Arial" w:cs="Arial"/>
              </w:rPr>
              <w:t>77.69</w:t>
            </w:r>
            <w:r w:rsidR="00F80FF0" w:rsidRPr="00007B14">
              <w:rPr>
                <w:rFonts w:ascii="Arial" w:hAnsi="Arial" w:cs="Arial"/>
              </w:rPr>
              <w:t>%</w:t>
            </w:r>
          </w:p>
        </w:tc>
      </w:tr>
      <w:tr w:rsidR="00F80FF0" w:rsidRPr="00CD4A4B" w:rsidTr="007E3BF7">
        <w:tc>
          <w:tcPr>
            <w:tcW w:w="6250" w:type="dxa"/>
          </w:tcPr>
          <w:p w:rsidR="00F80FF0" w:rsidRPr="00007B14" w:rsidRDefault="00F80FF0" w:rsidP="00D235C9">
            <w:pPr>
              <w:rPr>
                <w:rFonts w:ascii="Arial" w:hAnsi="Arial" w:cs="Arial"/>
              </w:rPr>
            </w:pPr>
            <w:r w:rsidRPr="00007B14">
              <w:rPr>
                <w:rFonts w:ascii="Arial" w:hAnsi="Arial" w:cs="Arial"/>
              </w:rPr>
              <w:t>The % of owners that feel PSPS good at keeping you informed about their services and decisions?</w:t>
            </w:r>
          </w:p>
          <w:p w:rsidR="00610ACC" w:rsidRPr="00007B14" w:rsidRDefault="00610ACC" w:rsidP="00D235C9">
            <w:pPr>
              <w:rPr>
                <w:rFonts w:ascii="Arial" w:hAnsi="Arial" w:cs="Arial"/>
              </w:rPr>
            </w:pPr>
            <w:r w:rsidRPr="00007B14">
              <w:rPr>
                <w:rFonts w:ascii="Arial" w:hAnsi="Arial" w:cs="Arial"/>
              </w:rPr>
              <w:t>(Taken from our last satisfaction survey in 2019)</w:t>
            </w:r>
          </w:p>
          <w:p w:rsidR="00610ACC" w:rsidRPr="00007B14" w:rsidRDefault="00610ACC" w:rsidP="00D235C9">
            <w:pPr>
              <w:rPr>
                <w:rFonts w:ascii="Arial" w:hAnsi="Arial" w:cs="Arial"/>
              </w:rPr>
            </w:pPr>
          </w:p>
        </w:tc>
        <w:tc>
          <w:tcPr>
            <w:tcW w:w="1274" w:type="dxa"/>
          </w:tcPr>
          <w:p w:rsidR="00F80FF0" w:rsidRPr="00007B14" w:rsidRDefault="00F80FF0" w:rsidP="007224FA">
            <w:pPr>
              <w:rPr>
                <w:rFonts w:ascii="Arial" w:hAnsi="Arial" w:cs="Arial"/>
              </w:rPr>
            </w:pPr>
            <w:r w:rsidRPr="00007B14">
              <w:rPr>
                <w:rFonts w:ascii="Arial" w:hAnsi="Arial" w:cs="Arial"/>
              </w:rPr>
              <w:t>96%</w:t>
            </w:r>
          </w:p>
        </w:tc>
        <w:tc>
          <w:tcPr>
            <w:tcW w:w="1377" w:type="dxa"/>
          </w:tcPr>
          <w:p w:rsidR="00F80FF0" w:rsidRPr="00007B14" w:rsidRDefault="00F80FF0" w:rsidP="008A4297">
            <w:pPr>
              <w:rPr>
                <w:rFonts w:ascii="Arial" w:hAnsi="Arial" w:cs="Arial"/>
              </w:rPr>
            </w:pPr>
            <w:r w:rsidRPr="00007B14">
              <w:rPr>
                <w:rFonts w:ascii="Arial" w:hAnsi="Arial" w:cs="Arial"/>
              </w:rPr>
              <w:t>N/A</w:t>
            </w:r>
          </w:p>
        </w:tc>
        <w:tc>
          <w:tcPr>
            <w:tcW w:w="1272" w:type="dxa"/>
          </w:tcPr>
          <w:p w:rsidR="00F80FF0" w:rsidRPr="00007B14" w:rsidRDefault="00F80FF0" w:rsidP="008A4297">
            <w:pPr>
              <w:rPr>
                <w:rFonts w:ascii="Arial" w:hAnsi="Arial" w:cs="Arial"/>
              </w:rPr>
            </w:pPr>
            <w:r w:rsidRPr="00007B14">
              <w:rPr>
                <w:rFonts w:ascii="Arial" w:hAnsi="Arial" w:cs="Arial"/>
              </w:rPr>
              <w:t xml:space="preserve">N/A </w:t>
            </w:r>
          </w:p>
        </w:tc>
      </w:tr>
      <w:tr w:rsidR="00F80FF0" w:rsidRPr="00CD4A4B" w:rsidTr="007E3BF7">
        <w:tc>
          <w:tcPr>
            <w:tcW w:w="6250" w:type="dxa"/>
          </w:tcPr>
          <w:p w:rsidR="00F80FF0" w:rsidRPr="00007B14" w:rsidRDefault="00F80FF0" w:rsidP="00D235C9">
            <w:pPr>
              <w:rPr>
                <w:rFonts w:ascii="Arial" w:hAnsi="Arial" w:cs="Arial"/>
              </w:rPr>
            </w:pPr>
            <w:r w:rsidRPr="00007B14">
              <w:rPr>
                <w:rFonts w:ascii="Arial" w:hAnsi="Arial" w:cs="Arial"/>
              </w:rPr>
              <w:t xml:space="preserve">The % of owners who, taking into account the services PSPS provides, think your management fee represents value for money? </w:t>
            </w:r>
          </w:p>
          <w:p w:rsidR="00610ACC" w:rsidRPr="00007B14" w:rsidRDefault="00610ACC" w:rsidP="00D235C9">
            <w:pPr>
              <w:rPr>
                <w:rFonts w:ascii="Arial" w:hAnsi="Arial" w:cs="Arial"/>
              </w:rPr>
            </w:pPr>
            <w:r w:rsidRPr="00007B14">
              <w:rPr>
                <w:rFonts w:ascii="Arial" w:hAnsi="Arial" w:cs="Arial"/>
              </w:rPr>
              <w:t>(Taken from our last satisfaction survey in 2019)</w:t>
            </w:r>
          </w:p>
          <w:p w:rsidR="00610ACC" w:rsidRPr="00007B14" w:rsidRDefault="00610ACC" w:rsidP="00D235C9">
            <w:pPr>
              <w:rPr>
                <w:rFonts w:ascii="Arial" w:hAnsi="Arial" w:cs="Arial"/>
              </w:rPr>
            </w:pPr>
          </w:p>
        </w:tc>
        <w:tc>
          <w:tcPr>
            <w:tcW w:w="1274" w:type="dxa"/>
          </w:tcPr>
          <w:p w:rsidR="00F80FF0" w:rsidRPr="00007B14" w:rsidRDefault="00F80FF0" w:rsidP="00AD751B">
            <w:pPr>
              <w:rPr>
                <w:rFonts w:ascii="Arial" w:hAnsi="Arial" w:cs="Arial"/>
              </w:rPr>
            </w:pPr>
            <w:r w:rsidRPr="00007B14">
              <w:rPr>
                <w:rFonts w:ascii="Arial" w:hAnsi="Arial" w:cs="Arial"/>
              </w:rPr>
              <w:t>76%</w:t>
            </w:r>
          </w:p>
        </w:tc>
        <w:tc>
          <w:tcPr>
            <w:tcW w:w="1377" w:type="dxa"/>
          </w:tcPr>
          <w:p w:rsidR="00F80FF0" w:rsidRPr="00007B14" w:rsidRDefault="00F80FF0" w:rsidP="008A4297">
            <w:pPr>
              <w:rPr>
                <w:rFonts w:ascii="Arial" w:hAnsi="Arial" w:cs="Arial"/>
              </w:rPr>
            </w:pPr>
            <w:r w:rsidRPr="00007B14">
              <w:rPr>
                <w:rFonts w:ascii="Arial" w:hAnsi="Arial" w:cs="Arial"/>
              </w:rPr>
              <w:t>N/A</w:t>
            </w:r>
          </w:p>
        </w:tc>
        <w:tc>
          <w:tcPr>
            <w:tcW w:w="1272" w:type="dxa"/>
          </w:tcPr>
          <w:p w:rsidR="00F80FF0" w:rsidRPr="00007B14" w:rsidRDefault="00F80FF0" w:rsidP="008A4297">
            <w:pPr>
              <w:rPr>
                <w:rFonts w:ascii="Arial" w:hAnsi="Arial" w:cs="Arial"/>
              </w:rPr>
            </w:pPr>
            <w:r w:rsidRPr="00007B14">
              <w:rPr>
                <w:rFonts w:ascii="Arial" w:hAnsi="Arial" w:cs="Arial"/>
              </w:rPr>
              <w:t>N/A</w:t>
            </w:r>
          </w:p>
        </w:tc>
      </w:tr>
      <w:tr w:rsidR="00F80FF0" w:rsidRPr="00CD4A4B" w:rsidTr="007E3BF7">
        <w:tc>
          <w:tcPr>
            <w:tcW w:w="6250" w:type="dxa"/>
          </w:tcPr>
          <w:p w:rsidR="00610ACC" w:rsidRPr="00007B14" w:rsidRDefault="00F80FF0" w:rsidP="0092351D">
            <w:r w:rsidRPr="00007B14">
              <w:rPr>
                <w:rFonts w:ascii="Arial" w:hAnsi="Arial" w:cs="Arial"/>
              </w:rPr>
              <w:t>The Average Management fee per factored property ( residential only)</w:t>
            </w:r>
            <w:r w:rsidR="00610ACC" w:rsidRPr="00007B14">
              <w:t xml:space="preserve"> </w:t>
            </w:r>
          </w:p>
          <w:p w:rsidR="00F80FF0" w:rsidRPr="00007B14" w:rsidRDefault="00610ACC" w:rsidP="0092351D">
            <w:pPr>
              <w:rPr>
                <w:rFonts w:ascii="Arial" w:hAnsi="Arial" w:cs="Arial"/>
              </w:rPr>
            </w:pPr>
            <w:r w:rsidRPr="00007B14">
              <w:rPr>
                <w:rFonts w:ascii="Arial" w:hAnsi="Arial" w:cs="Arial"/>
              </w:rPr>
              <w:t>(Reported within our Annual Return to the Scottish Housing Regulator)</w:t>
            </w:r>
          </w:p>
          <w:p w:rsidR="00610ACC" w:rsidRPr="00007B14" w:rsidRDefault="00610ACC" w:rsidP="0092351D">
            <w:pPr>
              <w:rPr>
                <w:rFonts w:ascii="Arial" w:hAnsi="Arial" w:cs="Arial"/>
              </w:rPr>
            </w:pPr>
          </w:p>
        </w:tc>
        <w:tc>
          <w:tcPr>
            <w:tcW w:w="1274" w:type="dxa"/>
          </w:tcPr>
          <w:p w:rsidR="00F80FF0" w:rsidRPr="00007B14" w:rsidRDefault="005F72B6" w:rsidP="000C112F">
            <w:pPr>
              <w:rPr>
                <w:rFonts w:ascii="Arial" w:hAnsi="Arial" w:cs="Arial"/>
              </w:rPr>
            </w:pPr>
            <w:r w:rsidRPr="00007B14">
              <w:rPr>
                <w:rFonts w:ascii="Arial" w:hAnsi="Arial" w:cs="Arial"/>
              </w:rPr>
              <w:t>£170.81</w:t>
            </w:r>
          </w:p>
        </w:tc>
        <w:tc>
          <w:tcPr>
            <w:tcW w:w="1377" w:type="dxa"/>
          </w:tcPr>
          <w:p w:rsidR="00F80FF0" w:rsidRPr="00007B14" w:rsidRDefault="00031C3F" w:rsidP="008A4297">
            <w:pPr>
              <w:rPr>
                <w:rFonts w:ascii="Arial" w:hAnsi="Arial" w:cs="Arial"/>
              </w:rPr>
            </w:pPr>
            <w:r w:rsidRPr="00007B14">
              <w:rPr>
                <w:rFonts w:ascii="Arial" w:hAnsi="Arial" w:cs="Arial"/>
              </w:rPr>
              <w:t>£101.31</w:t>
            </w:r>
          </w:p>
          <w:p w:rsidR="00F80FF0" w:rsidRPr="00007B14" w:rsidRDefault="00F80FF0" w:rsidP="008A4297">
            <w:pPr>
              <w:rPr>
                <w:rFonts w:ascii="Arial" w:hAnsi="Arial" w:cs="Arial"/>
              </w:rPr>
            </w:pPr>
          </w:p>
        </w:tc>
        <w:tc>
          <w:tcPr>
            <w:tcW w:w="1272" w:type="dxa"/>
          </w:tcPr>
          <w:p w:rsidR="00F80FF0" w:rsidRPr="00007B14" w:rsidRDefault="005F72B6" w:rsidP="008A4297">
            <w:pPr>
              <w:rPr>
                <w:rFonts w:ascii="Arial" w:hAnsi="Arial" w:cs="Arial"/>
              </w:rPr>
            </w:pPr>
            <w:r w:rsidRPr="00007B14">
              <w:rPr>
                <w:rFonts w:ascii="Arial" w:hAnsi="Arial" w:cs="Arial"/>
              </w:rPr>
              <w:t>£135.56</w:t>
            </w:r>
          </w:p>
        </w:tc>
      </w:tr>
    </w:tbl>
    <w:p w:rsidR="00CF7FA7" w:rsidRDefault="00CF7FA7" w:rsidP="005F7088">
      <w:pPr>
        <w:spacing w:after="0"/>
        <w:rPr>
          <w:rFonts w:ascii="Arial" w:hAnsi="Arial" w:cs="Arial"/>
          <w:sz w:val="24"/>
          <w:szCs w:val="24"/>
        </w:rPr>
      </w:pPr>
    </w:p>
    <w:p w:rsidR="007E3BF7" w:rsidRDefault="007E3BF7" w:rsidP="005F7088">
      <w:pPr>
        <w:spacing w:after="0"/>
        <w:rPr>
          <w:rFonts w:ascii="Arial" w:hAnsi="Arial" w:cs="Arial"/>
          <w:sz w:val="24"/>
          <w:szCs w:val="24"/>
        </w:rPr>
      </w:pPr>
      <w:r>
        <w:rPr>
          <w:rFonts w:ascii="Arial" w:hAnsi="Arial" w:cs="Arial"/>
          <w:sz w:val="24"/>
          <w:szCs w:val="24"/>
        </w:rPr>
        <w:t xml:space="preserve">Our Management Fee reflects </w:t>
      </w:r>
      <w:r w:rsidR="00610ACC">
        <w:rPr>
          <w:rFonts w:ascii="Arial" w:hAnsi="Arial" w:cs="Arial"/>
          <w:sz w:val="24"/>
          <w:szCs w:val="24"/>
        </w:rPr>
        <w:t xml:space="preserve">the </w:t>
      </w:r>
      <w:r>
        <w:rPr>
          <w:rFonts w:ascii="Arial" w:hAnsi="Arial" w:cs="Arial"/>
          <w:sz w:val="24"/>
          <w:szCs w:val="24"/>
        </w:rPr>
        <w:t xml:space="preserve">costs for the delivery of </w:t>
      </w:r>
      <w:r w:rsidR="00610ACC">
        <w:rPr>
          <w:rFonts w:ascii="Arial" w:hAnsi="Arial" w:cs="Arial"/>
          <w:sz w:val="24"/>
          <w:szCs w:val="24"/>
        </w:rPr>
        <w:t xml:space="preserve">our </w:t>
      </w:r>
      <w:r>
        <w:rPr>
          <w:rFonts w:ascii="Arial" w:hAnsi="Arial" w:cs="Arial"/>
          <w:sz w:val="24"/>
          <w:szCs w:val="24"/>
        </w:rPr>
        <w:t>service</w:t>
      </w:r>
      <w:r w:rsidR="00610ACC">
        <w:rPr>
          <w:rFonts w:ascii="Arial" w:hAnsi="Arial" w:cs="Arial"/>
          <w:sz w:val="24"/>
          <w:szCs w:val="24"/>
        </w:rPr>
        <w:t xml:space="preserve">. Unlike many appointed factors, </w:t>
      </w:r>
      <w:r>
        <w:rPr>
          <w:rFonts w:ascii="Arial" w:hAnsi="Arial" w:cs="Arial"/>
          <w:sz w:val="24"/>
          <w:szCs w:val="24"/>
        </w:rPr>
        <w:t>w</w:t>
      </w:r>
      <w:r w:rsidR="00610ACC">
        <w:rPr>
          <w:rFonts w:ascii="Arial" w:hAnsi="Arial" w:cs="Arial"/>
          <w:sz w:val="24"/>
          <w:szCs w:val="24"/>
        </w:rPr>
        <w:t xml:space="preserve">e only have 287 factored owners so </w:t>
      </w:r>
      <w:r>
        <w:rPr>
          <w:rFonts w:ascii="Arial" w:hAnsi="Arial" w:cs="Arial"/>
          <w:sz w:val="24"/>
          <w:szCs w:val="24"/>
        </w:rPr>
        <w:t>we do not benefit from the economies of scale that some other</w:t>
      </w:r>
      <w:r w:rsidR="00610ACC">
        <w:rPr>
          <w:rFonts w:ascii="Arial" w:hAnsi="Arial" w:cs="Arial"/>
          <w:sz w:val="24"/>
          <w:szCs w:val="24"/>
        </w:rPr>
        <w:t>s benefit from</w:t>
      </w:r>
      <w:r>
        <w:rPr>
          <w:rFonts w:ascii="Arial" w:hAnsi="Arial" w:cs="Arial"/>
          <w:sz w:val="24"/>
          <w:szCs w:val="24"/>
        </w:rPr>
        <w:t xml:space="preserve">. Our focus is to provide a good quality service which represents value for money and we are pleased that our most recent owners’ satisfaction outcomes reflect this.  We do recognise there is always room for improvement however and will therefore continue to look for efficiencies in our delivery of services. </w:t>
      </w:r>
    </w:p>
    <w:p w:rsidR="007E3BF7" w:rsidRDefault="007E3BF7" w:rsidP="005F7088">
      <w:pPr>
        <w:spacing w:after="0"/>
        <w:rPr>
          <w:rFonts w:ascii="Arial" w:hAnsi="Arial" w:cs="Arial"/>
          <w:sz w:val="24"/>
          <w:szCs w:val="24"/>
        </w:rPr>
      </w:pPr>
    </w:p>
    <w:p w:rsidR="007E3BF7" w:rsidRPr="007E3BF7" w:rsidRDefault="007E3BF7" w:rsidP="005F7088">
      <w:pPr>
        <w:spacing w:after="0"/>
        <w:rPr>
          <w:rFonts w:ascii="Arial" w:hAnsi="Arial" w:cs="Arial"/>
          <w:b/>
          <w:sz w:val="24"/>
          <w:szCs w:val="24"/>
        </w:rPr>
      </w:pPr>
      <w:r w:rsidRPr="007E3BF7">
        <w:rPr>
          <w:rFonts w:ascii="Arial" w:hAnsi="Arial" w:cs="Arial"/>
          <w:b/>
          <w:sz w:val="24"/>
          <w:szCs w:val="24"/>
        </w:rPr>
        <w:t xml:space="preserve">Participation </w:t>
      </w:r>
    </w:p>
    <w:p w:rsidR="007E3BF7" w:rsidRDefault="007E3BF7" w:rsidP="005F7088">
      <w:pPr>
        <w:spacing w:after="0"/>
        <w:rPr>
          <w:rFonts w:ascii="Arial" w:hAnsi="Arial" w:cs="Arial"/>
          <w:sz w:val="24"/>
          <w:szCs w:val="24"/>
        </w:rPr>
      </w:pPr>
    </w:p>
    <w:p w:rsidR="00454B37" w:rsidRDefault="00CF7FA7" w:rsidP="005F7088">
      <w:pPr>
        <w:spacing w:after="0"/>
        <w:rPr>
          <w:rFonts w:ascii="Arial" w:hAnsi="Arial" w:cs="Arial"/>
          <w:sz w:val="24"/>
          <w:szCs w:val="24"/>
        </w:rPr>
      </w:pPr>
      <w:r>
        <w:rPr>
          <w:rFonts w:ascii="Arial" w:hAnsi="Arial" w:cs="Arial"/>
          <w:sz w:val="24"/>
          <w:szCs w:val="24"/>
        </w:rPr>
        <w:t xml:space="preserve">We continue to </w:t>
      </w:r>
      <w:r w:rsidR="00454B37">
        <w:rPr>
          <w:rFonts w:ascii="Arial" w:hAnsi="Arial" w:cs="Arial"/>
          <w:sz w:val="24"/>
          <w:szCs w:val="24"/>
        </w:rPr>
        <w:t xml:space="preserve">issue quarterly </w:t>
      </w:r>
      <w:r w:rsidR="003668E5">
        <w:rPr>
          <w:rFonts w:ascii="Arial" w:hAnsi="Arial" w:cs="Arial"/>
          <w:sz w:val="24"/>
          <w:szCs w:val="24"/>
        </w:rPr>
        <w:t>newsletters along with our i</w:t>
      </w:r>
      <w:r>
        <w:rPr>
          <w:rFonts w:ascii="Arial" w:hAnsi="Arial" w:cs="Arial"/>
          <w:sz w:val="24"/>
          <w:szCs w:val="24"/>
        </w:rPr>
        <w:t xml:space="preserve">nvoices </w:t>
      </w:r>
      <w:r w:rsidR="00454B37">
        <w:rPr>
          <w:rFonts w:ascii="Arial" w:hAnsi="Arial" w:cs="Arial"/>
          <w:sz w:val="24"/>
          <w:szCs w:val="24"/>
        </w:rPr>
        <w:t>and statements</w:t>
      </w:r>
      <w:r>
        <w:rPr>
          <w:rFonts w:ascii="Arial" w:hAnsi="Arial" w:cs="Arial"/>
          <w:sz w:val="24"/>
          <w:szCs w:val="24"/>
        </w:rPr>
        <w:t>. These are</w:t>
      </w:r>
      <w:r w:rsidR="00454B37">
        <w:rPr>
          <w:rFonts w:ascii="Arial" w:hAnsi="Arial" w:cs="Arial"/>
          <w:sz w:val="24"/>
          <w:szCs w:val="24"/>
        </w:rPr>
        <w:t xml:space="preserve"> well received with owners contacting us in response to article</w:t>
      </w:r>
      <w:r>
        <w:rPr>
          <w:rFonts w:ascii="Arial" w:hAnsi="Arial" w:cs="Arial"/>
          <w:sz w:val="24"/>
          <w:szCs w:val="24"/>
        </w:rPr>
        <w:t xml:space="preserve">s. There continues to be </w:t>
      </w:r>
      <w:r w:rsidR="00454B37">
        <w:rPr>
          <w:rFonts w:ascii="Arial" w:hAnsi="Arial" w:cs="Arial"/>
          <w:sz w:val="24"/>
          <w:szCs w:val="24"/>
        </w:rPr>
        <w:t>no appetite from owners to have a</w:t>
      </w:r>
      <w:r>
        <w:rPr>
          <w:rFonts w:ascii="Arial" w:hAnsi="Arial" w:cs="Arial"/>
          <w:sz w:val="24"/>
          <w:szCs w:val="24"/>
        </w:rPr>
        <w:t>n Owners</w:t>
      </w:r>
      <w:r w:rsidR="00454B37">
        <w:rPr>
          <w:rFonts w:ascii="Arial" w:hAnsi="Arial" w:cs="Arial"/>
          <w:sz w:val="24"/>
          <w:szCs w:val="24"/>
        </w:rPr>
        <w:t xml:space="preserve"> F</w:t>
      </w:r>
      <w:r>
        <w:rPr>
          <w:rFonts w:ascii="Arial" w:hAnsi="Arial" w:cs="Arial"/>
          <w:sz w:val="24"/>
          <w:szCs w:val="24"/>
        </w:rPr>
        <w:t xml:space="preserve">orum. </w:t>
      </w:r>
    </w:p>
    <w:p w:rsidR="0092351D" w:rsidRPr="00CD4A4B" w:rsidRDefault="00454B37" w:rsidP="0092351D">
      <w:pPr>
        <w:spacing w:after="0"/>
        <w:rPr>
          <w:rFonts w:ascii="Arial" w:hAnsi="Arial" w:cs="Arial"/>
          <w:sz w:val="24"/>
          <w:szCs w:val="24"/>
        </w:rPr>
      </w:pPr>
      <w:r>
        <w:rPr>
          <w:rFonts w:ascii="Arial" w:hAnsi="Arial" w:cs="Arial"/>
          <w:sz w:val="24"/>
          <w:szCs w:val="24"/>
        </w:rPr>
        <w:t xml:space="preserve"> </w:t>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r w:rsidR="00597088" w:rsidRPr="00CD4A4B">
        <w:rPr>
          <w:rFonts w:ascii="Arial" w:hAnsi="Arial" w:cs="Arial"/>
          <w:sz w:val="24"/>
          <w:szCs w:val="24"/>
        </w:rPr>
        <w:tab/>
      </w:r>
    </w:p>
    <w:p w:rsidR="005547AE" w:rsidRDefault="00F20950" w:rsidP="0092351D">
      <w:pPr>
        <w:spacing w:after="0" w:line="240" w:lineRule="auto"/>
        <w:rPr>
          <w:rFonts w:ascii="Arial" w:eastAsia="Times New Roman" w:hAnsi="Arial" w:cs="Arial"/>
          <w:b/>
          <w:sz w:val="24"/>
          <w:szCs w:val="24"/>
          <w:lang w:eastAsia="en-GB"/>
        </w:rPr>
      </w:pPr>
      <w:r w:rsidRPr="00CD4A4B">
        <w:rPr>
          <w:rFonts w:ascii="Arial" w:eastAsia="Times New Roman" w:hAnsi="Arial" w:cs="Arial"/>
          <w:b/>
          <w:sz w:val="24"/>
          <w:szCs w:val="24"/>
          <w:lang w:eastAsia="en-GB"/>
        </w:rPr>
        <w:t xml:space="preserve">Complaints </w:t>
      </w:r>
    </w:p>
    <w:p w:rsidR="00CF7FA7" w:rsidRDefault="00CF7FA7" w:rsidP="0092351D">
      <w:pPr>
        <w:spacing w:after="0" w:line="240" w:lineRule="auto"/>
        <w:rPr>
          <w:rFonts w:ascii="Arial" w:eastAsia="Times New Roman" w:hAnsi="Arial" w:cs="Arial"/>
          <w:b/>
          <w:sz w:val="24"/>
          <w:szCs w:val="24"/>
          <w:lang w:eastAsia="en-GB"/>
        </w:rPr>
      </w:pPr>
    </w:p>
    <w:p w:rsidR="00CF7FA7" w:rsidRPr="00CF7FA7" w:rsidRDefault="00CF7FA7" w:rsidP="0092351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w:t>
      </w:r>
      <w:r w:rsidR="00F138AC">
        <w:rPr>
          <w:rFonts w:ascii="Arial" w:eastAsia="Times New Roman" w:hAnsi="Arial" w:cs="Arial"/>
          <w:sz w:val="24"/>
          <w:szCs w:val="24"/>
          <w:lang w:eastAsia="en-GB"/>
        </w:rPr>
        <w:t xml:space="preserve">pleased that the </w:t>
      </w:r>
      <w:r w:rsidR="00D93026">
        <w:rPr>
          <w:rFonts w:ascii="Arial" w:eastAsia="Times New Roman" w:hAnsi="Arial" w:cs="Arial"/>
          <w:sz w:val="24"/>
          <w:szCs w:val="24"/>
          <w:lang w:eastAsia="en-GB"/>
        </w:rPr>
        <w:t>level of complaints remains</w:t>
      </w:r>
      <w:r w:rsidR="00F138AC">
        <w:rPr>
          <w:rFonts w:ascii="Arial" w:eastAsia="Times New Roman" w:hAnsi="Arial" w:cs="Arial"/>
          <w:sz w:val="24"/>
          <w:szCs w:val="24"/>
          <w:lang w:eastAsia="en-GB"/>
        </w:rPr>
        <w:t xml:space="preserve"> low. </w:t>
      </w:r>
      <w:r w:rsidR="00D9302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rsidR="00F20950" w:rsidRPr="00CD4A4B" w:rsidRDefault="00F20950" w:rsidP="0092351D">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1232"/>
        <w:gridCol w:w="1420"/>
        <w:gridCol w:w="1506"/>
        <w:gridCol w:w="2016"/>
        <w:gridCol w:w="1589"/>
        <w:gridCol w:w="2410"/>
      </w:tblGrid>
      <w:tr w:rsidR="00F20950" w:rsidRPr="00CD4A4B" w:rsidTr="00CD4A4B">
        <w:tc>
          <w:tcPr>
            <w:tcW w:w="1232" w:type="dxa"/>
          </w:tcPr>
          <w:p w:rsidR="00F20950" w:rsidRPr="00007B14" w:rsidRDefault="00F20950" w:rsidP="0092351D">
            <w:pPr>
              <w:rPr>
                <w:rFonts w:ascii="Arial" w:hAnsi="Arial" w:cs="Arial"/>
                <w:sz w:val="22"/>
                <w:szCs w:val="22"/>
              </w:rPr>
            </w:pPr>
          </w:p>
        </w:tc>
        <w:tc>
          <w:tcPr>
            <w:tcW w:w="1420" w:type="dxa"/>
          </w:tcPr>
          <w:p w:rsidR="00F20950" w:rsidRPr="00007B14" w:rsidRDefault="00F20950" w:rsidP="0092351D">
            <w:pPr>
              <w:rPr>
                <w:rFonts w:ascii="Arial" w:hAnsi="Arial" w:cs="Arial"/>
                <w:sz w:val="22"/>
                <w:szCs w:val="22"/>
              </w:rPr>
            </w:pPr>
            <w:r w:rsidRPr="00007B14">
              <w:rPr>
                <w:rFonts w:ascii="Arial" w:hAnsi="Arial" w:cs="Arial"/>
                <w:sz w:val="22"/>
                <w:szCs w:val="22"/>
              </w:rPr>
              <w:t>Number of Complaints Made</w:t>
            </w:r>
          </w:p>
        </w:tc>
        <w:tc>
          <w:tcPr>
            <w:tcW w:w="1506" w:type="dxa"/>
          </w:tcPr>
          <w:p w:rsidR="00F20950" w:rsidRPr="00007B14" w:rsidRDefault="00F20950" w:rsidP="0092351D">
            <w:pPr>
              <w:rPr>
                <w:rFonts w:ascii="Arial" w:hAnsi="Arial" w:cs="Arial"/>
                <w:sz w:val="22"/>
                <w:szCs w:val="22"/>
              </w:rPr>
            </w:pPr>
            <w:r w:rsidRPr="00007B14">
              <w:rPr>
                <w:rFonts w:ascii="Arial" w:hAnsi="Arial" w:cs="Arial"/>
                <w:sz w:val="22"/>
                <w:szCs w:val="22"/>
              </w:rPr>
              <w:t xml:space="preserve">Minor Complaints </w:t>
            </w:r>
          </w:p>
          <w:p w:rsidR="00F20950" w:rsidRPr="00007B14" w:rsidRDefault="00F20950" w:rsidP="0092351D">
            <w:pPr>
              <w:rPr>
                <w:rFonts w:ascii="Arial" w:hAnsi="Arial" w:cs="Arial"/>
                <w:sz w:val="22"/>
                <w:szCs w:val="22"/>
              </w:rPr>
            </w:pPr>
            <w:r w:rsidRPr="00007B14">
              <w:rPr>
                <w:rFonts w:ascii="Arial" w:hAnsi="Arial" w:cs="Arial"/>
                <w:sz w:val="22"/>
                <w:szCs w:val="22"/>
              </w:rPr>
              <w:t>(Stage 1)</w:t>
            </w:r>
          </w:p>
        </w:tc>
        <w:tc>
          <w:tcPr>
            <w:tcW w:w="2016" w:type="dxa"/>
          </w:tcPr>
          <w:p w:rsidR="00F20950" w:rsidRPr="00007B14" w:rsidRDefault="00F20950" w:rsidP="0092351D">
            <w:pPr>
              <w:rPr>
                <w:rFonts w:ascii="Arial" w:hAnsi="Arial" w:cs="Arial"/>
                <w:sz w:val="22"/>
                <w:szCs w:val="22"/>
              </w:rPr>
            </w:pPr>
            <w:r w:rsidRPr="00007B14">
              <w:rPr>
                <w:rFonts w:ascii="Arial" w:hAnsi="Arial" w:cs="Arial"/>
                <w:sz w:val="22"/>
                <w:szCs w:val="22"/>
              </w:rPr>
              <w:t>Complex Complaints</w:t>
            </w:r>
          </w:p>
          <w:p w:rsidR="00F20950" w:rsidRPr="00007B14" w:rsidRDefault="00F20950" w:rsidP="0092351D">
            <w:pPr>
              <w:rPr>
                <w:rFonts w:ascii="Arial" w:hAnsi="Arial" w:cs="Arial"/>
                <w:sz w:val="22"/>
                <w:szCs w:val="22"/>
              </w:rPr>
            </w:pPr>
            <w:r w:rsidRPr="00007B14">
              <w:rPr>
                <w:rFonts w:ascii="Arial" w:hAnsi="Arial" w:cs="Arial"/>
                <w:sz w:val="22"/>
                <w:szCs w:val="22"/>
              </w:rPr>
              <w:t>( Stage 2)</w:t>
            </w:r>
          </w:p>
        </w:tc>
        <w:tc>
          <w:tcPr>
            <w:tcW w:w="1589" w:type="dxa"/>
          </w:tcPr>
          <w:p w:rsidR="00F20950" w:rsidRPr="00007B14" w:rsidRDefault="00F20950" w:rsidP="0092351D">
            <w:pPr>
              <w:rPr>
                <w:rFonts w:ascii="Arial" w:hAnsi="Arial" w:cs="Arial"/>
                <w:sz w:val="22"/>
                <w:szCs w:val="22"/>
              </w:rPr>
            </w:pPr>
            <w:r w:rsidRPr="00007B14">
              <w:rPr>
                <w:rFonts w:ascii="Arial" w:hAnsi="Arial" w:cs="Arial"/>
                <w:sz w:val="22"/>
                <w:szCs w:val="22"/>
              </w:rPr>
              <w:t>Complaints Upheld</w:t>
            </w:r>
          </w:p>
        </w:tc>
        <w:tc>
          <w:tcPr>
            <w:tcW w:w="2410" w:type="dxa"/>
          </w:tcPr>
          <w:p w:rsidR="00F20950" w:rsidRPr="00007B14" w:rsidRDefault="00F20950" w:rsidP="0092351D">
            <w:pPr>
              <w:rPr>
                <w:rFonts w:ascii="Arial" w:hAnsi="Arial" w:cs="Arial"/>
                <w:sz w:val="22"/>
                <w:szCs w:val="22"/>
              </w:rPr>
            </w:pPr>
            <w:r w:rsidRPr="00007B14">
              <w:rPr>
                <w:rFonts w:ascii="Arial" w:hAnsi="Arial" w:cs="Arial"/>
                <w:sz w:val="22"/>
                <w:szCs w:val="22"/>
              </w:rPr>
              <w:t>Completed within National Timescales</w:t>
            </w:r>
          </w:p>
        </w:tc>
      </w:tr>
      <w:tr w:rsidR="00454B37" w:rsidRPr="00CD4A4B" w:rsidTr="00CD4A4B">
        <w:tc>
          <w:tcPr>
            <w:tcW w:w="1232" w:type="dxa"/>
          </w:tcPr>
          <w:p w:rsidR="00454B37" w:rsidRPr="00007B14" w:rsidRDefault="005F72B6" w:rsidP="00143217">
            <w:pPr>
              <w:rPr>
                <w:rFonts w:ascii="Arial" w:hAnsi="Arial" w:cs="Arial"/>
                <w:b/>
                <w:sz w:val="22"/>
                <w:szCs w:val="22"/>
              </w:rPr>
            </w:pPr>
            <w:r w:rsidRPr="00007B14">
              <w:rPr>
                <w:rFonts w:ascii="Arial" w:hAnsi="Arial" w:cs="Arial"/>
                <w:b/>
                <w:sz w:val="22"/>
                <w:szCs w:val="22"/>
              </w:rPr>
              <w:t>2019.20</w:t>
            </w:r>
          </w:p>
        </w:tc>
        <w:tc>
          <w:tcPr>
            <w:tcW w:w="1420" w:type="dxa"/>
          </w:tcPr>
          <w:p w:rsidR="00454B37" w:rsidRPr="00007B14" w:rsidRDefault="00D206D3" w:rsidP="00143217">
            <w:pPr>
              <w:rPr>
                <w:rFonts w:ascii="Arial" w:hAnsi="Arial" w:cs="Arial"/>
                <w:b/>
                <w:sz w:val="22"/>
                <w:szCs w:val="22"/>
              </w:rPr>
            </w:pPr>
            <w:r w:rsidRPr="00007B14">
              <w:rPr>
                <w:rFonts w:ascii="Arial" w:hAnsi="Arial" w:cs="Arial"/>
                <w:b/>
                <w:sz w:val="22"/>
                <w:szCs w:val="22"/>
              </w:rPr>
              <w:t>7</w:t>
            </w:r>
          </w:p>
        </w:tc>
        <w:tc>
          <w:tcPr>
            <w:tcW w:w="1506" w:type="dxa"/>
          </w:tcPr>
          <w:p w:rsidR="00454B37" w:rsidRPr="00007B14" w:rsidRDefault="00D206D3" w:rsidP="00143217">
            <w:pPr>
              <w:rPr>
                <w:rFonts w:ascii="Arial" w:hAnsi="Arial" w:cs="Arial"/>
                <w:b/>
                <w:sz w:val="22"/>
                <w:szCs w:val="22"/>
              </w:rPr>
            </w:pPr>
            <w:r w:rsidRPr="00007B14">
              <w:rPr>
                <w:rFonts w:ascii="Arial" w:hAnsi="Arial" w:cs="Arial"/>
                <w:b/>
                <w:sz w:val="22"/>
                <w:szCs w:val="22"/>
              </w:rPr>
              <w:t>7</w:t>
            </w:r>
          </w:p>
        </w:tc>
        <w:tc>
          <w:tcPr>
            <w:tcW w:w="2016" w:type="dxa"/>
          </w:tcPr>
          <w:p w:rsidR="00454B37" w:rsidRPr="00007B14" w:rsidRDefault="00D206D3" w:rsidP="00143217">
            <w:pPr>
              <w:rPr>
                <w:rFonts w:ascii="Arial" w:hAnsi="Arial" w:cs="Arial"/>
                <w:b/>
                <w:sz w:val="22"/>
                <w:szCs w:val="22"/>
              </w:rPr>
            </w:pPr>
            <w:r w:rsidRPr="00007B14">
              <w:rPr>
                <w:rFonts w:ascii="Arial" w:hAnsi="Arial" w:cs="Arial"/>
                <w:b/>
                <w:sz w:val="22"/>
                <w:szCs w:val="22"/>
              </w:rPr>
              <w:t>0</w:t>
            </w:r>
          </w:p>
        </w:tc>
        <w:tc>
          <w:tcPr>
            <w:tcW w:w="1589" w:type="dxa"/>
          </w:tcPr>
          <w:p w:rsidR="00454B37" w:rsidRPr="00007B14" w:rsidRDefault="00D206D3" w:rsidP="00143217">
            <w:pPr>
              <w:rPr>
                <w:rFonts w:ascii="Arial" w:hAnsi="Arial" w:cs="Arial"/>
                <w:b/>
                <w:sz w:val="22"/>
                <w:szCs w:val="22"/>
              </w:rPr>
            </w:pPr>
            <w:r w:rsidRPr="00007B14">
              <w:rPr>
                <w:rFonts w:ascii="Arial" w:hAnsi="Arial" w:cs="Arial"/>
                <w:b/>
                <w:sz w:val="22"/>
                <w:szCs w:val="22"/>
              </w:rPr>
              <w:t xml:space="preserve">1 </w:t>
            </w:r>
            <w:r w:rsidR="00ED3A26" w:rsidRPr="00007B14">
              <w:rPr>
                <w:rFonts w:ascii="Arial" w:hAnsi="Arial" w:cs="Arial"/>
                <w:b/>
                <w:sz w:val="22"/>
                <w:szCs w:val="22"/>
              </w:rPr>
              <w:t>Partially</w:t>
            </w:r>
          </w:p>
        </w:tc>
        <w:tc>
          <w:tcPr>
            <w:tcW w:w="2410" w:type="dxa"/>
          </w:tcPr>
          <w:p w:rsidR="00454B37" w:rsidRPr="00007B14" w:rsidRDefault="00D206D3" w:rsidP="00143217">
            <w:pPr>
              <w:rPr>
                <w:rFonts w:ascii="Arial" w:hAnsi="Arial" w:cs="Arial"/>
                <w:b/>
                <w:sz w:val="22"/>
                <w:szCs w:val="22"/>
              </w:rPr>
            </w:pPr>
            <w:r w:rsidRPr="00007B14">
              <w:rPr>
                <w:rFonts w:ascii="Arial" w:hAnsi="Arial" w:cs="Arial"/>
                <w:b/>
                <w:sz w:val="22"/>
                <w:szCs w:val="22"/>
              </w:rPr>
              <w:t>7 (100%)</w:t>
            </w:r>
          </w:p>
        </w:tc>
      </w:tr>
      <w:tr w:rsidR="000514C4" w:rsidRPr="00CD4A4B" w:rsidTr="00CD4A4B">
        <w:tc>
          <w:tcPr>
            <w:tcW w:w="1232" w:type="dxa"/>
          </w:tcPr>
          <w:p w:rsidR="000514C4" w:rsidRPr="00007B14" w:rsidRDefault="000514C4" w:rsidP="00431238">
            <w:pPr>
              <w:rPr>
                <w:rFonts w:ascii="Arial" w:hAnsi="Arial" w:cs="Arial"/>
                <w:b/>
                <w:sz w:val="22"/>
                <w:szCs w:val="22"/>
              </w:rPr>
            </w:pPr>
            <w:r w:rsidRPr="00007B14">
              <w:rPr>
                <w:rFonts w:ascii="Arial" w:hAnsi="Arial" w:cs="Arial"/>
                <w:b/>
                <w:sz w:val="22"/>
                <w:szCs w:val="22"/>
              </w:rPr>
              <w:t>2018.19</w:t>
            </w:r>
          </w:p>
        </w:tc>
        <w:tc>
          <w:tcPr>
            <w:tcW w:w="1420" w:type="dxa"/>
          </w:tcPr>
          <w:p w:rsidR="000514C4" w:rsidRPr="00007B14" w:rsidRDefault="000514C4" w:rsidP="00431238">
            <w:pPr>
              <w:rPr>
                <w:rFonts w:ascii="Arial" w:hAnsi="Arial" w:cs="Arial"/>
                <w:b/>
                <w:sz w:val="22"/>
                <w:szCs w:val="22"/>
              </w:rPr>
            </w:pPr>
            <w:r w:rsidRPr="00007B14">
              <w:rPr>
                <w:rFonts w:ascii="Arial" w:hAnsi="Arial" w:cs="Arial"/>
                <w:b/>
                <w:sz w:val="22"/>
                <w:szCs w:val="22"/>
              </w:rPr>
              <w:t>7</w:t>
            </w:r>
          </w:p>
        </w:tc>
        <w:tc>
          <w:tcPr>
            <w:tcW w:w="1506" w:type="dxa"/>
          </w:tcPr>
          <w:p w:rsidR="000514C4" w:rsidRPr="00007B14" w:rsidRDefault="000514C4" w:rsidP="00431238">
            <w:pPr>
              <w:rPr>
                <w:rFonts w:ascii="Arial" w:hAnsi="Arial" w:cs="Arial"/>
                <w:b/>
                <w:sz w:val="22"/>
                <w:szCs w:val="22"/>
              </w:rPr>
            </w:pPr>
            <w:r w:rsidRPr="00007B14">
              <w:rPr>
                <w:rFonts w:ascii="Arial" w:hAnsi="Arial" w:cs="Arial"/>
                <w:b/>
                <w:sz w:val="22"/>
                <w:szCs w:val="22"/>
              </w:rPr>
              <w:t>7</w:t>
            </w:r>
          </w:p>
        </w:tc>
        <w:tc>
          <w:tcPr>
            <w:tcW w:w="2016" w:type="dxa"/>
          </w:tcPr>
          <w:p w:rsidR="000514C4" w:rsidRPr="00007B14" w:rsidRDefault="000514C4" w:rsidP="00431238">
            <w:pPr>
              <w:rPr>
                <w:rFonts w:ascii="Arial" w:hAnsi="Arial" w:cs="Arial"/>
                <w:b/>
                <w:sz w:val="22"/>
                <w:szCs w:val="22"/>
              </w:rPr>
            </w:pPr>
            <w:r w:rsidRPr="00007B14">
              <w:rPr>
                <w:rFonts w:ascii="Arial" w:hAnsi="Arial" w:cs="Arial"/>
                <w:b/>
                <w:sz w:val="22"/>
                <w:szCs w:val="22"/>
              </w:rPr>
              <w:t>0</w:t>
            </w:r>
          </w:p>
        </w:tc>
        <w:tc>
          <w:tcPr>
            <w:tcW w:w="1589" w:type="dxa"/>
          </w:tcPr>
          <w:p w:rsidR="000514C4" w:rsidRPr="00007B14" w:rsidRDefault="000514C4" w:rsidP="00431238">
            <w:pPr>
              <w:rPr>
                <w:rFonts w:ascii="Arial" w:hAnsi="Arial" w:cs="Arial"/>
                <w:b/>
                <w:sz w:val="22"/>
                <w:szCs w:val="22"/>
              </w:rPr>
            </w:pPr>
            <w:r w:rsidRPr="00007B14">
              <w:rPr>
                <w:rFonts w:ascii="Arial" w:hAnsi="Arial" w:cs="Arial"/>
                <w:b/>
                <w:sz w:val="22"/>
                <w:szCs w:val="22"/>
              </w:rPr>
              <w:t>0</w:t>
            </w:r>
          </w:p>
        </w:tc>
        <w:tc>
          <w:tcPr>
            <w:tcW w:w="2410" w:type="dxa"/>
          </w:tcPr>
          <w:p w:rsidR="000514C4" w:rsidRPr="00007B14" w:rsidRDefault="000514C4" w:rsidP="00431238">
            <w:pPr>
              <w:rPr>
                <w:rFonts w:ascii="Arial" w:hAnsi="Arial" w:cs="Arial"/>
                <w:b/>
                <w:sz w:val="22"/>
                <w:szCs w:val="22"/>
              </w:rPr>
            </w:pPr>
            <w:r w:rsidRPr="00007B14">
              <w:rPr>
                <w:rFonts w:ascii="Arial" w:hAnsi="Arial" w:cs="Arial"/>
                <w:b/>
                <w:sz w:val="22"/>
                <w:szCs w:val="22"/>
              </w:rPr>
              <w:t>7 (100%)</w:t>
            </w:r>
          </w:p>
        </w:tc>
      </w:tr>
    </w:tbl>
    <w:p w:rsidR="00311EA6" w:rsidRDefault="00311EA6" w:rsidP="0092351D">
      <w:pPr>
        <w:spacing w:after="0"/>
        <w:rPr>
          <w:rFonts w:ascii="Arial" w:hAnsi="Arial" w:cs="Arial"/>
          <w:sz w:val="24"/>
          <w:szCs w:val="24"/>
        </w:rPr>
      </w:pPr>
    </w:p>
    <w:p w:rsidR="005106CC" w:rsidRDefault="007E3BF7" w:rsidP="0092351D">
      <w:pPr>
        <w:spacing w:after="0"/>
        <w:rPr>
          <w:rFonts w:ascii="Arial" w:hAnsi="Arial" w:cs="Arial"/>
          <w:sz w:val="24"/>
          <w:szCs w:val="24"/>
        </w:rPr>
      </w:pPr>
      <w:r>
        <w:rPr>
          <w:rFonts w:ascii="Arial" w:hAnsi="Arial" w:cs="Arial"/>
          <w:sz w:val="24"/>
          <w:szCs w:val="24"/>
        </w:rPr>
        <w:t xml:space="preserve">For 2020.21 we will continue to develop our communication with factored owners moving </w:t>
      </w:r>
      <w:r w:rsidR="005106CC">
        <w:rPr>
          <w:rFonts w:ascii="Arial" w:hAnsi="Arial" w:cs="Arial"/>
          <w:sz w:val="24"/>
          <w:szCs w:val="24"/>
        </w:rPr>
        <w:t xml:space="preserve">more towards electronic </w:t>
      </w:r>
      <w:r>
        <w:rPr>
          <w:rFonts w:ascii="Arial" w:hAnsi="Arial" w:cs="Arial"/>
          <w:sz w:val="24"/>
          <w:szCs w:val="24"/>
        </w:rPr>
        <w:t>communications</w:t>
      </w:r>
      <w:r w:rsidR="005106CC">
        <w:rPr>
          <w:rFonts w:ascii="Arial" w:hAnsi="Arial" w:cs="Arial"/>
          <w:sz w:val="24"/>
          <w:szCs w:val="24"/>
        </w:rPr>
        <w:t xml:space="preserve">. </w:t>
      </w:r>
    </w:p>
    <w:p w:rsidR="007E3BF7" w:rsidRPr="00CD4A4B" w:rsidRDefault="007E3BF7" w:rsidP="0092351D">
      <w:pPr>
        <w:spacing w:after="0"/>
        <w:rPr>
          <w:rFonts w:ascii="Arial" w:hAnsi="Arial" w:cs="Arial"/>
          <w:sz w:val="24"/>
          <w:szCs w:val="24"/>
        </w:rPr>
      </w:pPr>
      <w:r>
        <w:rPr>
          <w:rFonts w:ascii="Arial" w:hAnsi="Arial" w:cs="Arial"/>
          <w:sz w:val="24"/>
          <w:szCs w:val="24"/>
        </w:rPr>
        <w:t xml:space="preserve"> </w:t>
      </w:r>
    </w:p>
    <w:p w:rsidR="00454B37" w:rsidRDefault="00CD4A4B" w:rsidP="00CD4A4B">
      <w:pPr>
        <w:spacing w:after="0"/>
        <w:rPr>
          <w:rFonts w:ascii="Arial" w:hAnsi="Arial" w:cs="Arial"/>
          <w:b/>
          <w:sz w:val="24"/>
          <w:szCs w:val="24"/>
        </w:rPr>
      </w:pPr>
      <w:r w:rsidRPr="005F7088">
        <w:rPr>
          <w:rFonts w:ascii="Arial" w:hAnsi="Arial" w:cs="Arial"/>
          <w:b/>
          <w:sz w:val="24"/>
          <w:szCs w:val="24"/>
        </w:rPr>
        <w:t xml:space="preserve">I trust that you have found this information useful. If you have any questions or wish to comment on the Report please contact us on 0141 889 7105 or email </w:t>
      </w:r>
    </w:p>
    <w:p w:rsidR="00CD4A4B" w:rsidRPr="005F7088" w:rsidRDefault="00EE67A3" w:rsidP="00CD4A4B">
      <w:pPr>
        <w:spacing w:after="0"/>
        <w:rPr>
          <w:rFonts w:ascii="Arial" w:hAnsi="Arial" w:cs="Arial"/>
          <w:b/>
          <w:sz w:val="24"/>
          <w:szCs w:val="24"/>
        </w:rPr>
      </w:pPr>
      <w:hyperlink r:id="rId10" w:history="1">
        <w:r w:rsidR="00454B37" w:rsidRPr="00E939A7">
          <w:rPr>
            <w:rStyle w:val="Hyperlink"/>
            <w:rFonts w:ascii="Arial" w:hAnsi="Arial" w:cs="Arial"/>
            <w:b/>
            <w:sz w:val="24"/>
            <w:szCs w:val="24"/>
          </w:rPr>
          <w:t>admin@paisleyha.org.uk</w:t>
        </w:r>
      </w:hyperlink>
      <w:r w:rsidR="00454B37">
        <w:rPr>
          <w:rFonts w:ascii="Arial" w:hAnsi="Arial" w:cs="Arial"/>
          <w:b/>
          <w:sz w:val="24"/>
          <w:szCs w:val="24"/>
        </w:rPr>
        <w:t xml:space="preserve">  </w:t>
      </w:r>
      <w:r w:rsidR="00DC2787">
        <w:rPr>
          <w:rFonts w:ascii="Arial" w:hAnsi="Arial" w:cs="Arial"/>
          <w:b/>
          <w:sz w:val="24"/>
          <w:szCs w:val="24"/>
        </w:rPr>
        <w:t xml:space="preserve">  </w:t>
      </w:r>
    </w:p>
    <w:sectPr w:rsidR="00CD4A4B" w:rsidRPr="005F7088" w:rsidSect="00597088">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F6" w:rsidRDefault="008706F6" w:rsidP="008706F6">
      <w:pPr>
        <w:spacing w:after="0" w:line="240" w:lineRule="auto"/>
      </w:pPr>
      <w:r>
        <w:separator/>
      </w:r>
    </w:p>
  </w:endnote>
  <w:endnote w:type="continuationSeparator" w:id="0">
    <w:p w:rsidR="008706F6" w:rsidRDefault="008706F6" w:rsidP="0087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F6" w:rsidRDefault="008706F6" w:rsidP="008706F6">
      <w:pPr>
        <w:spacing w:after="0" w:line="240" w:lineRule="auto"/>
      </w:pPr>
      <w:r>
        <w:separator/>
      </w:r>
    </w:p>
  </w:footnote>
  <w:footnote w:type="continuationSeparator" w:id="0">
    <w:p w:rsidR="008706F6" w:rsidRDefault="008706F6" w:rsidP="00870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A4"/>
    <w:multiLevelType w:val="hybridMultilevel"/>
    <w:tmpl w:val="280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F3F0C"/>
    <w:multiLevelType w:val="hybridMultilevel"/>
    <w:tmpl w:val="CB36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66509"/>
    <w:multiLevelType w:val="hybridMultilevel"/>
    <w:tmpl w:val="BC6E37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9FD44A5"/>
    <w:multiLevelType w:val="hybridMultilevel"/>
    <w:tmpl w:val="3DAC7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B9F32BD"/>
    <w:multiLevelType w:val="hybridMultilevel"/>
    <w:tmpl w:val="4E88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D65DDC"/>
    <w:multiLevelType w:val="hybridMultilevel"/>
    <w:tmpl w:val="F66A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B80513"/>
    <w:multiLevelType w:val="hybridMultilevel"/>
    <w:tmpl w:val="A73E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C1295E"/>
    <w:multiLevelType w:val="hybridMultilevel"/>
    <w:tmpl w:val="69B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5E7CD5"/>
    <w:multiLevelType w:val="hybridMultilevel"/>
    <w:tmpl w:val="E1F8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962C3F"/>
    <w:multiLevelType w:val="hybridMultilevel"/>
    <w:tmpl w:val="39D8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672680"/>
    <w:multiLevelType w:val="hybridMultilevel"/>
    <w:tmpl w:val="8C38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D43D7C"/>
    <w:multiLevelType w:val="hybridMultilevel"/>
    <w:tmpl w:val="7C32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10"/>
  </w:num>
  <w:num w:numId="6">
    <w:abstractNumId w:val="1"/>
  </w:num>
  <w:num w:numId="7">
    <w:abstractNumId w:val="7"/>
  </w:num>
  <w:num w:numId="8">
    <w:abstractNumId w:val="6"/>
  </w:num>
  <w:num w:numId="9">
    <w:abstractNumId w:val="4"/>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34"/>
    <w:rsid w:val="00002937"/>
    <w:rsid w:val="00007B14"/>
    <w:rsid w:val="00031C3F"/>
    <w:rsid w:val="000346F0"/>
    <w:rsid w:val="000514C4"/>
    <w:rsid w:val="000703FA"/>
    <w:rsid w:val="00090551"/>
    <w:rsid w:val="00093085"/>
    <w:rsid w:val="000C112F"/>
    <w:rsid w:val="000D62DD"/>
    <w:rsid w:val="001108AC"/>
    <w:rsid w:val="00116FE7"/>
    <w:rsid w:val="00132770"/>
    <w:rsid w:val="001F0E91"/>
    <w:rsid w:val="00232634"/>
    <w:rsid w:val="00266BE4"/>
    <w:rsid w:val="00297AB5"/>
    <w:rsid w:val="003010F7"/>
    <w:rsid w:val="00311EA6"/>
    <w:rsid w:val="003668E5"/>
    <w:rsid w:val="003A1249"/>
    <w:rsid w:val="003D12E8"/>
    <w:rsid w:val="003D56D3"/>
    <w:rsid w:val="003E2592"/>
    <w:rsid w:val="003F09E6"/>
    <w:rsid w:val="00412A61"/>
    <w:rsid w:val="004364DA"/>
    <w:rsid w:val="00454B37"/>
    <w:rsid w:val="0046352D"/>
    <w:rsid w:val="004B62E4"/>
    <w:rsid w:val="005106CC"/>
    <w:rsid w:val="0051519F"/>
    <w:rsid w:val="00523021"/>
    <w:rsid w:val="005544C0"/>
    <w:rsid w:val="005547AE"/>
    <w:rsid w:val="00597088"/>
    <w:rsid w:val="005B7788"/>
    <w:rsid w:val="005D428B"/>
    <w:rsid w:val="005F7088"/>
    <w:rsid w:val="005F72B6"/>
    <w:rsid w:val="00600CAC"/>
    <w:rsid w:val="00610ACC"/>
    <w:rsid w:val="0068564C"/>
    <w:rsid w:val="006879D8"/>
    <w:rsid w:val="006C6D28"/>
    <w:rsid w:val="007224FA"/>
    <w:rsid w:val="007306E3"/>
    <w:rsid w:val="0075549D"/>
    <w:rsid w:val="00777C67"/>
    <w:rsid w:val="00785931"/>
    <w:rsid w:val="00792598"/>
    <w:rsid w:val="007B54AB"/>
    <w:rsid w:val="007D7A8D"/>
    <w:rsid w:val="007E3BF7"/>
    <w:rsid w:val="00850CD8"/>
    <w:rsid w:val="00860A0E"/>
    <w:rsid w:val="008706F6"/>
    <w:rsid w:val="008838BD"/>
    <w:rsid w:val="008C12EB"/>
    <w:rsid w:val="008D0443"/>
    <w:rsid w:val="008D666B"/>
    <w:rsid w:val="008E6029"/>
    <w:rsid w:val="00921F0D"/>
    <w:rsid w:val="0092351D"/>
    <w:rsid w:val="0097080B"/>
    <w:rsid w:val="009D22D6"/>
    <w:rsid w:val="00A77BB8"/>
    <w:rsid w:val="00AA0384"/>
    <w:rsid w:val="00AD751B"/>
    <w:rsid w:val="00B7190B"/>
    <w:rsid w:val="00B72477"/>
    <w:rsid w:val="00C01048"/>
    <w:rsid w:val="00C4430C"/>
    <w:rsid w:val="00C90354"/>
    <w:rsid w:val="00C905CC"/>
    <w:rsid w:val="00CD4A4B"/>
    <w:rsid w:val="00CF7FA7"/>
    <w:rsid w:val="00D17C34"/>
    <w:rsid w:val="00D206D3"/>
    <w:rsid w:val="00D235C9"/>
    <w:rsid w:val="00D26893"/>
    <w:rsid w:val="00D642B9"/>
    <w:rsid w:val="00D7116A"/>
    <w:rsid w:val="00D93026"/>
    <w:rsid w:val="00D96273"/>
    <w:rsid w:val="00DA0520"/>
    <w:rsid w:val="00DB7B6D"/>
    <w:rsid w:val="00DC2787"/>
    <w:rsid w:val="00DD321E"/>
    <w:rsid w:val="00DD6FAE"/>
    <w:rsid w:val="00E07B52"/>
    <w:rsid w:val="00E103D1"/>
    <w:rsid w:val="00E13498"/>
    <w:rsid w:val="00E44E59"/>
    <w:rsid w:val="00ED3A26"/>
    <w:rsid w:val="00EE67A3"/>
    <w:rsid w:val="00F138AC"/>
    <w:rsid w:val="00F20950"/>
    <w:rsid w:val="00F21BF3"/>
    <w:rsid w:val="00F73F51"/>
    <w:rsid w:val="00F80FF0"/>
    <w:rsid w:val="00F9014A"/>
    <w:rsid w:val="00FA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70"/>
    <w:pPr>
      <w:ind w:left="720"/>
      <w:contextualSpacing/>
    </w:pPr>
  </w:style>
  <w:style w:type="table" w:styleId="TableGrid">
    <w:name w:val="Table Grid"/>
    <w:basedOn w:val="TableNormal"/>
    <w:uiPriority w:val="59"/>
    <w:rsid w:val="00DD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EB"/>
    <w:rPr>
      <w:rFonts w:ascii="Tahoma" w:hAnsi="Tahoma" w:cs="Tahoma"/>
      <w:sz w:val="16"/>
      <w:szCs w:val="16"/>
    </w:rPr>
  </w:style>
  <w:style w:type="table" w:customStyle="1" w:styleId="TableGrid1">
    <w:name w:val="Table Grid1"/>
    <w:basedOn w:val="TableNormal"/>
    <w:next w:val="TableGrid"/>
    <w:rsid w:val="005547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90B"/>
    <w:rPr>
      <w:color w:val="0000FF" w:themeColor="hyperlink"/>
      <w:u w:val="single"/>
    </w:rPr>
  </w:style>
  <w:style w:type="paragraph" w:styleId="BodyTextIndent">
    <w:name w:val="Body Text Indent"/>
    <w:basedOn w:val="Normal"/>
    <w:link w:val="BodyTextIndentChar"/>
    <w:uiPriority w:val="99"/>
    <w:rsid w:val="00002937"/>
    <w:pPr>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00293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7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F6"/>
  </w:style>
  <w:style w:type="paragraph" w:styleId="Footer">
    <w:name w:val="footer"/>
    <w:basedOn w:val="Normal"/>
    <w:link w:val="FooterChar"/>
    <w:uiPriority w:val="99"/>
    <w:unhideWhenUsed/>
    <w:rsid w:val="0087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70"/>
    <w:pPr>
      <w:ind w:left="720"/>
      <w:contextualSpacing/>
    </w:pPr>
  </w:style>
  <w:style w:type="table" w:styleId="TableGrid">
    <w:name w:val="Table Grid"/>
    <w:basedOn w:val="TableNormal"/>
    <w:uiPriority w:val="59"/>
    <w:rsid w:val="00DD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EB"/>
    <w:rPr>
      <w:rFonts w:ascii="Tahoma" w:hAnsi="Tahoma" w:cs="Tahoma"/>
      <w:sz w:val="16"/>
      <w:szCs w:val="16"/>
    </w:rPr>
  </w:style>
  <w:style w:type="table" w:customStyle="1" w:styleId="TableGrid1">
    <w:name w:val="Table Grid1"/>
    <w:basedOn w:val="TableNormal"/>
    <w:next w:val="TableGrid"/>
    <w:rsid w:val="005547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90B"/>
    <w:rPr>
      <w:color w:val="0000FF" w:themeColor="hyperlink"/>
      <w:u w:val="single"/>
    </w:rPr>
  </w:style>
  <w:style w:type="paragraph" w:styleId="BodyTextIndent">
    <w:name w:val="Body Text Indent"/>
    <w:basedOn w:val="Normal"/>
    <w:link w:val="BodyTextIndentChar"/>
    <w:uiPriority w:val="99"/>
    <w:rsid w:val="00002937"/>
    <w:pPr>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00293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7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F6"/>
  </w:style>
  <w:style w:type="paragraph" w:styleId="Footer">
    <w:name w:val="footer"/>
    <w:basedOn w:val="Normal"/>
    <w:link w:val="FooterChar"/>
    <w:uiPriority w:val="99"/>
    <w:unhideWhenUsed/>
    <w:rsid w:val="0087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paisleyha.org.uk" TargetMode="External"/><Relationship Id="rId4" Type="http://schemas.openxmlformats.org/officeDocument/2006/relationships/settings" Target="settings.xml"/><Relationship Id="rId9" Type="http://schemas.openxmlformats.org/officeDocument/2006/relationships/hyperlink" Target="http://www.scottishhousingregula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Gilroy</dc:creator>
  <cp:lastModifiedBy>Steffani McDonald</cp:lastModifiedBy>
  <cp:revision>3</cp:revision>
  <cp:lastPrinted>2018-11-05T14:16:00Z</cp:lastPrinted>
  <dcterms:created xsi:type="dcterms:W3CDTF">2020-11-20T14:11:00Z</dcterms:created>
  <dcterms:modified xsi:type="dcterms:W3CDTF">2020-11-27T11:10:00Z</dcterms:modified>
</cp:coreProperties>
</file>