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2BFFD" w14:textId="77777777" w:rsidR="00772C76" w:rsidRPr="0017056F" w:rsidRDefault="00772C76" w:rsidP="00033CB2"/>
    <w:p w14:paraId="0AAC4DDE" w14:textId="77777777" w:rsidR="00772C76" w:rsidRPr="0017056F" w:rsidRDefault="00772C76" w:rsidP="00033CB2"/>
    <w:p w14:paraId="0F33E1FE" w14:textId="77777777" w:rsidR="00BE3C80" w:rsidRPr="0017056F" w:rsidRDefault="00BE3C80" w:rsidP="00033CB2">
      <w:pPr>
        <w:jc w:val="center"/>
        <w:rPr>
          <w:rFonts w:ascii="Arial" w:hAnsi="Arial" w:cs="Arial"/>
          <w:b/>
          <w:sz w:val="32"/>
          <w:szCs w:val="32"/>
        </w:rPr>
      </w:pPr>
    </w:p>
    <w:p w14:paraId="5471846B" w14:textId="77777777" w:rsidR="00772C76" w:rsidRPr="0017056F" w:rsidRDefault="00A47E55" w:rsidP="00033CB2">
      <w:pPr>
        <w:jc w:val="center"/>
        <w:rPr>
          <w:rFonts w:ascii="Arial" w:hAnsi="Arial" w:cs="Arial"/>
          <w:b/>
          <w:sz w:val="32"/>
          <w:szCs w:val="32"/>
        </w:rPr>
      </w:pPr>
      <w:r w:rsidRPr="0017056F">
        <w:rPr>
          <w:rFonts w:ascii="Arial" w:hAnsi="Arial" w:cs="Arial"/>
          <w:b/>
          <w:sz w:val="32"/>
          <w:szCs w:val="32"/>
        </w:rPr>
        <w:t xml:space="preserve">PAISLEY </w:t>
      </w:r>
      <w:r w:rsidR="00772C76" w:rsidRPr="0017056F">
        <w:rPr>
          <w:rFonts w:ascii="Arial" w:hAnsi="Arial" w:cs="Arial"/>
          <w:b/>
          <w:sz w:val="32"/>
          <w:szCs w:val="32"/>
        </w:rPr>
        <w:t>HOUSING ASSOCIATION</w:t>
      </w:r>
    </w:p>
    <w:p w14:paraId="21F1F116" w14:textId="77777777" w:rsidR="00772C76" w:rsidRPr="0017056F" w:rsidRDefault="00772C76" w:rsidP="00033CB2">
      <w:pPr>
        <w:jc w:val="center"/>
        <w:rPr>
          <w:rFonts w:ascii="Arial" w:hAnsi="Arial" w:cs="Arial"/>
          <w:b/>
          <w:sz w:val="32"/>
          <w:szCs w:val="32"/>
        </w:rPr>
      </w:pPr>
    </w:p>
    <w:p w14:paraId="59BAA844" w14:textId="77777777" w:rsidR="00772C76" w:rsidRPr="0017056F" w:rsidRDefault="00E83ACA" w:rsidP="00033CB2">
      <w:pPr>
        <w:jc w:val="center"/>
        <w:rPr>
          <w:rFonts w:ascii="Arial" w:hAnsi="Arial" w:cs="Arial"/>
          <w:b/>
          <w:sz w:val="32"/>
          <w:szCs w:val="32"/>
        </w:rPr>
      </w:pPr>
      <w:r w:rsidRPr="0017056F">
        <w:rPr>
          <w:rFonts w:ascii="Arial" w:hAnsi="Arial" w:cs="Arial"/>
          <w:b/>
          <w:sz w:val="32"/>
          <w:szCs w:val="32"/>
        </w:rPr>
        <w:t>BOARD</w:t>
      </w:r>
      <w:r w:rsidR="00772C76" w:rsidRPr="0017056F">
        <w:rPr>
          <w:rFonts w:ascii="Arial" w:hAnsi="Arial" w:cs="Arial"/>
          <w:b/>
          <w:sz w:val="32"/>
          <w:szCs w:val="32"/>
        </w:rPr>
        <w:t xml:space="preserve"> REPORT</w:t>
      </w:r>
      <w:r w:rsidR="00101184" w:rsidRPr="0017056F">
        <w:rPr>
          <w:rFonts w:ascii="Arial" w:hAnsi="Arial" w:cs="Arial"/>
          <w:b/>
          <w:sz w:val="32"/>
          <w:szCs w:val="32"/>
        </w:rPr>
        <w:t xml:space="preserve"> </w:t>
      </w:r>
    </w:p>
    <w:p w14:paraId="68D61949" w14:textId="77777777" w:rsidR="00772C76" w:rsidRPr="0017056F" w:rsidRDefault="00772C76" w:rsidP="00033CB2">
      <w:pPr>
        <w:rPr>
          <w:rFonts w:ascii="Arial" w:hAnsi="Arial" w:cs="Arial"/>
        </w:rPr>
      </w:pPr>
    </w:p>
    <w:p w14:paraId="7894E487" w14:textId="77777777" w:rsidR="00772C76" w:rsidRPr="0017056F" w:rsidRDefault="00772C76" w:rsidP="00033CB2">
      <w:pPr>
        <w:rPr>
          <w:rFonts w:ascii="Arial" w:hAnsi="Arial" w:cs="Arial"/>
        </w:rPr>
      </w:pPr>
    </w:p>
    <w:p w14:paraId="030FF52D" w14:textId="77777777" w:rsidR="00772C76" w:rsidRPr="0017056F" w:rsidRDefault="00772C76" w:rsidP="00033CB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2841"/>
        <w:gridCol w:w="1383"/>
        <w:gridCol w:w="3137"/>
      </w:tblGrid>
      <w:tr w:rsidR="0017056F" w:rsidRPr="0017056F" w14:paraId="344D36B1" w14:textId="77777777" w:rsidTr="00347094">
        <w:trPr>
          <w:trHeight w:val="691"/>
          <w:jc w:val="center"/>
        </w:trPr>
        <w:tc>
          <w:tcPr>
            <w:tcW w:w="1548" w:type="dxa"/>
          </w:tcPr>
          <w:p w14:paraId="163D62A4" w14:textId="77777777" w:rsidR="00772C76" w:rsidRPr="0017056F" w:rsidRDefault="00772C76" w:rsidP="00287247">
            <w:pPr>
              <w:rPr>
                <w:rFonts w:ascii="Arial" w:hAnsi="Arial" w:cs="Arial"/>
                <w:b/>
                <w:sz w:val="28"/>
                <w:szCs w:val="28"/>
              </w:rPr>
            </w:pPr>
            <w:r w:rsidRPr="0017056F">
              <w:rPr>
                <w:rFonts w:ascii="Arial" w:hAnsi="Arial" w:cs="Arial"/>
                <w:b/>
                <w:sz w:val="28"/>
                <w:szCs w:val="28"/>
              </w:rPr>
              <w:t>MEETING</w:t>
            </w:r>
          </w:p>
        </w:tc>
        <w:tc>
          <w:tcPr>
            <w:tcW w:w="2880" w:type="dxa"/>
          </w:tcPr>
          <w:p w14:paraId="4BFDF643" w14:textId="77777777" w:rsidR="00772C76" w:rsidRPr="0017056F" w:rsidRDefault="00E83ACA" w:rsidP="00287247">
            <w:pPr>
              <w:rPr>
                <w:rFonts w:ascii="Arial" w:hAnsi="Arial" w:cs="Arial"/>
                <w:sz w:val="28"/>
                <w:szCs w:val="28"/>
              </w:rPr>
            </w:pPr>
            <w:r w:rsidRPr="0017056F">
              <w:rPr>
                <w:rFonts w:ascii="Arial" w:hAnsi="Arial" w:cs="Arial"/>
                <w:sz w:val="28"/>
                <w:szCs w:val="28"/>
              </w:rPr>
              <w:t>Board</w:t>
            </w:r>
          </w:p>
        </w:tc>
        <w:tc>
          <w:tcPr>
            <w:tcW w:w="1260" w:type="dxa"/>
          </w:tcPr>
          <w:p w14:paraId="68DD3A29" w14:textId="77777777" w:rsidR="00772C76" w:rsidRPr="0017056F" w:rsidRDefault="00772C76" w:rsidP="00287247">
            <w:pPr>
              <w:rPr>
                <w:rFonts w:ascii="Arial" w:hAnsi="Arial" w:cs="Arial"/>
                <w:b/>
                <w:sz w:val="28"/>
                <w:szCs w:val="28"/>
              </w:rPr>
            </w:pPr>
            <w:r w:rsidRPr="0017056F">
              <w:rPr>
                <w:rFonts w:ascii="Arial" w:hAnsi="Arial" w:cs="Arial"/>
                <w:b/>
                <w:sz w:val="28"/>
                <w:szCs w:val="28"/>
              </w:rPr>
              <w:t>DATE</w:t>
            </w:r>
          </w:p>
        </w:tc>
        <w:tc>
          <w:tcPr>
            <w:tcW w:w="3168" w:type="dxa"/>
          </w:tcPr>
          <w:p w14:paraId="0A0D1E39" w14:textId="16884B84" w:rsidR="00772C76" w:rsidRPr="0017056F" w:rsidRDefault="0034266B" w:rsidP="00C053FD">
            <w:pPr>
              <w:rPr>
                <w:rFonts w:ascii="Arial" w:hAnsi="Arial" w:cs="Arial"/>
                <w:b/>
                <w:sz w:val="24"/>
                <w:szCs w:val="24"/>
              </w:rPr>
            </w:pPr>
            <w:r w:rsidRPr="0034266B">
              <w:rPr>
                <w:rFonts w:ascii="Arial" w:hAnsi="Arial" w:cs="Arial"/>
                <w:sz w:val="28"/>
                <w:szCs w:val="28"/>
              </w:rPr>
              <w:t>21st February 2022</w:t>
            </w:r>
          </w:p>
        </w:tc>
      </w:tr>
      <w:tr w:rsidR="0017056F" w:rsidRPr="0017056F" w14:paraId="50F58668" w14:textId="77777777" w:rsidTr="00347094">
        <w:trPr>
          <w:jc w:val="center"/>
        </w:trPr>
        <w:tc>
          <w:tcPr>
            <w:tcW w:w="1548" w:type="dxa"/>
          </w:tcPr>
          <w:p w14:paraId="1137F0CE" w14:textId="77777777" w:rsidR="00772C76" w:rsidRPr="0017056F" w:rsidRDefault="00772C76" w:rsidP="00287247">
            <w:pPr>
              <w:rPr>
                <w:rFonts w:ascii="Arial" w:hAnsi="Arial" w:cs="Arial"/>
                <w:b/>
                <w:sz w:val="28"/>
                <w:szCs w:val="28"/>
              </w:rPr>
            </w:pPr>
            <w:r w:rsidRPr="0017056F">
              <w:rPr>
                <w:rFonts w:ascii="Arial" w:hAnsi="Arial" w:cs="Arial"/>
                <w:b/>
                <w:sz w:val="28"/>
                <w:szCs w:val="28"/>
              </w:rPr>
              <w:t>AGENDA NO</w:t>
            </w:r>
          </w:p>
        </w:tc>
        <w:tc>
          <w:tcPr>
            <w:tcW w:w="2880" w:type="dxa"/>
          </w:tcPr>
          <w:p w14:paraId="2A1DD3C6" w14:textId="1F87A5D4" w:rsidR="00507DF3" w:rsidRPr="0017056F" w:rsidRDefault="0034266B" w:rsidP="0088208E">
            <w:pPr>
              <w:rPr>
                <w:rFonts w:ascii="Arial" w:hAnsi="Arial" w:cs="Arial"/>
                <w:sz w:val="28"/>
                <w:szCs w:val="28"/>
              </w:rPr>
            </w:pPr>
            <w:r>
              <w:rPr>
                <w:rFonts w:ascii="Arial" w:hAnsi="Arial" w:cs="Arial"/>
                <w:sz w:val="28"/>
                <w:szCs w:val="28"/>
              </w:rPr>
              <w:t>6</w:t>
            </w:r>
          </w:p>
        </w:tc>
        <w:tc>
          <w:tcPr>
            <w:tcW w:w="1260" w:type="dxa"/>
          </w:tcPr>
          <w:p w14:paraId="55520A9A" w14:textId="77777777" w:rsidR="00772C76" w:rsidRPr="0017056F" w:rsidRDefault="00772C76" w:rsidP="00287247">
            <w:pPr>
              <w:rPr>
                <w:rFonts w:ascii="Arial" w:hAnsi="Arial" w:cs="Arial"/>
                <w:b/>
                <w:sz w:val="28"/>
                <w:szCs w:val="28"/>
              </w:rPr>
            </w:pPr>
            <w:r w:rsidRPr="0017056F">
              <w:rPr>
                <w:rFonts w:ascii="Arial" w:hAnsi="Arial" w:cs="Arial"/>
                <w:b/>
                <w:sz w:val="28"/>
                <w:szCs w:val="28"/>
              </w:rPr>
              <w:t>TITLE OF REPORT</w:t>
            </w:r>
          </w:p>
        </w:tc>
        <w:tc>
          <w:tcPr>
            <w:tcW w:w="3168" w:type="dxa"/>
          </w:tcPr>
          <w:p w14:paraId="476D8E36" w14:textId="694293C2" w:rsidR="00772C76" w:rsidRPr="0017056F" w:rsidRDefault="00772C76" w:rsidP="001C62EF">
            <w:pPr>
              <w:rPr>
                <w:rFonts w:ascii="Arial" w:hAnsi="Arial" w:cs="Arial"/>
                <w:sz w:val="28"/>
                <w:szCs w:val="28"/>
              </w:rPr>
            </w:pPr>
            <w:r w:rsidRPr="0017056F">
              <w:rPr>
                <w:rFonts w:ascii="Arial" w:hAnsi="Arial" w:cs="Arial"/>
                <w:sz w:val="28"/>
                <w:szCs w:val="28"/>
              </w:rPr>
              <w:t>Quarterly Management Accounts: Q</w:t>
            </w:r>
            <w:r w:rsidR="0034266B">
              <w:rPr>
                <w:rFonts w:ascii="Arial" w:hAnsi="Arial" w:cs="Arial"/>
                <w:sz w:val="28"/>
                <w:szCs w:val="28"/>
              </w:rPr>
              <w:t>3</w:t>
            </w:r>
            <w:r w:rsidRPr="0017056F">
              <w:rPr>
                <w:rFonts w:ascii="Arial" w:hAnsi="Arial" w:cs="Arial"/>
                <w:sz w:val="28"/>
                <w:szCs w:val="28"/>
              </w:rPr>
              <w:t xml:space="preserve"> to </w:t>
            </w:r>
            <w:r w:rsidR="0034266B">
              <w:rPr>
                <w:rFonts w:ascii="Arial" w:hAnsi="Arial" w:cs="Arial"/>
                <w:sz w:val="28"/>
                <w:szCs w:val="28"/>
              </w:rPr>
              <w:t>Decem</w:t>
            </w:r>
            <w:r w:rsidR="001C62EF" w:rsidRPr="0017056F">
              <w:rPr>
                <w:rFonts w:ascii="Arial" w:hAnsi="Arial" w:cs="Arial"/>
                <w:sz w:val="28"/>
                <w:szCs w:val="28"/>
              </w:rPr>
              <w:t>ber</w:t>
            </w:r>
            <w:r w:rsidR="00892C94" w:rsidRPr="0017056F">
              <w:rPr>
                <w:rFonts w:ascii="Arial" w:hAnsi="Arial" w:cs="Arial"/>
                <w:sz w:val="28"/>
                <w:szCs w:val="28"/>
              </w:rPr>
              <w:t xml:space="preserve"> </w:t>
            </w:r>
            <w:r w:rsidR="005B68AC" w:rsidRPr="0017056F">
              <w:rPr>
                <w:rFonts w:ascii="Arial" w:hAnsi="Arial" w:cs="Arial"/>
                <w:sz w:val="28"/>
                <w:szCs w:val="28"/>
              </w:rPr>
              <w:t>21</w:t>
            </w:r>
          </w:p>
        </w:tc>
      </w:tr>
      <w:tr w:rsidR="00772C76" w:rsidRPr="0017056F" w14:paraId="5F5BE964" w14:textId="77777777" w:rsidTr="00347094">
        <w:trPr>
          <w:jc w:val="center"/>
        </w:trPr>
        <w:tc>
          <w:tcPr>
            <w:tcW w:w="1548" w:type="dxa"/>
          </w:tcPr>
          <w:p w14:paraId="763226FC" w14:textId="77777777" w:rsidR="00772C76" w:rsidRPr="0017056F" w:rsidRDefault="00772C76" w:rsidP="00287247">
            <w:pPr>
              <w:rPr>
                <w:rFonts w:ascii="Arial" w:hAnsi="Arial" w:cs="Arial"/>
                <w:b/>
                <w:sz w:val="28"/>
                <w:szCs w:val="28"/>
              </w:rPr>
            </w:pPr>
            <w:r w:rsidRPr="0017056F">
              <w:rPr>
                <w:rFonts w:ascii="Arial" w:hAnsi="Arial" w:cs="Arial"/>
                <w:b/>
                <w:sz w:val="28"/>
                <w:szCs w:val="28"/>
              </w:rPr>
              <w:t>AUTHOR</w:t>
            </w:r>
          </w:p>
        </w:tc>
        <w:tc>
          <w:tcPr>
            <w:tcW w:w="2880" w:type="dxa"/>
          </w:tcPr>
          <w:p w14:paraId="7D0E7E44" w14:textId="77777777" w:rsidR="00772C76" w:rsidRPr="0017056F" w:rsidRDefault="00A25D1C" w:rsidP="00A25D1C">
            <w:pPr>
              <w:rPr>
                <w:rFonts w:ascii="Arial" w:hAnsi="Arial" w:cs="Arial"/>
                <w:sz w:val="28"/>
                <w:szCs w:val="28"/>
              </w:rPr>
            </w:pPr>
            <w:r w:rsidRPr="0017056F">
              <w:rPr>
                <w:rFonts w:ascii="Arial" w:hAnsi="Arial"/>
                <w:bCs/>
                <w:sz w:val="28"/>
                <w:szCs w:val="28"/>
              </w:rPr>
              <w:t xml:space="preserve">Head of </w:t>
            </w:r>
            <w:r w:rsidR="00772C76" w:rsidRPr="0017056F">
              <w:rPr>
                <w:rFonts w:ascii="Arial" w:hAnsi="Arial"/>
                <w:bCs/>
                <w:sz w:val="28"/>
                <w:szCs w:val="28"/>
              </w:rPr>
              <w:t xml:space="preserve">Finance </w:t>
            </w:r>
            <w:r w:rsidR="00C64D2F" w:rsidRPr="0017056F">
              <w:rPr>
                <w:rFonts w:ascii="Arial" w:hAnsi="Arial"/>
                <w:bCs/>
                <w:sz w:val="28"/>
                <w:szCs w:val="28"/>
              </w:rPr>
              <w:t xml:space="preserve">&amp; IT </w:t>
            </w:r>
          </w:p>
        </w:tc>
        <w:tc>
          <w:tcPr>
            <w:tcW w:w="1260" w:type="dxa"/>
          </w:tcPr>
          <w:p w14:paraId="300EE61F" w14:textId="77777777" w:rsidR="00772C76" w:rsidRPr="0017056F" w:rsidRDefault="00772C76" w:rsidP="00287247">
            <w:pPr>
              <w:rPr>
                <w:rFonts w:ascii="Arial" w:hAnsi="Arial" w:cs="Arial"/>
                <w:sz w:val="28"/>
                <w:szCs w:val="28"/>
              </w:rPr>
            </w:pPr>
          </w:p>
        </w:tc>
        <w:tc>
          <w:tcPr>
            <w:tcW w:w="3168" w:type="dxa"/>
          </w:tcPr>
          <w:p w14:paraId="469F10FF" w14:textId="77777777" w:rsidR="00772C76" w:rsidRPr="0017056F" w:rsidRDefault="00772C76" w:rsidP="00287247">
            <w:pPr>
              <w:rPr>
                <w:rFonts w:ascii="Arial" w:hAnsi="Arial" w:cs="Arial"/>
                <w:sz w:val="28"/>
                <w:szCs w:val="28"/>
              </w:rPr>
            </w:pPr>
          </w:p>
        </w:tc>
      </w:tr>
    </w:tbl>
    <w:p w14:paraId="64158A9A" w14:textId="77777777" w:rsidR="00772C76" w:rsidRPr="0017056F" w:rsidRDefault="00772C76" w:rsidP="00033CB2">
      <w:pPr>
        <w:rPr>
          <w:rFonts w:ascii="Arial" w:hAnsi="Arial" w:cs="Arial"/>
          <w:sz w:val="28"/>
          <w:szCs w:val="28"/>
        </w:rPr>
      </w:pPr>
    </w:p>
    <w:p w14:paraId="297317A7" w14:textId="77777777" w:rsidR="00772C76" w:rsidRPr="0017056F" w:rsidRDefault="00772C76" w:rsidP="00033CB2">
      <w:pP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5560"/>
      </w:tblGrid>
      <w:tr w:rsidR="0017056F" w:rsidRPr="0017056F" w14:paraId="0FD2B319" w14:textId="77777777" w:rsidTr="00347094">
        <w:trPr>
          <w:jc w:val="center"/>
        </w:trPr>
        <w:tc>
          <w:tcPr>
            <w:tcW w:w="2968" w:type="dxa"/>
          </w:tcPr>
          <w:p w14:paraId="3F5F361D" w14:textId="77777777" w:rsidR="00772C76" w:rsidRPr="0017056F" w:rsidRDefault="00772C76" w:rsidP="00287247">
            <w:pPr>
              <w:rPr>
                <w:rFonts w:ascii="Arial" w:hAnsi="Arial" w:cs="Arial"/>
                <w:b/>
                <w:sz w:val="28"/>
                <w:szCs w:val="28"/>
              </w:rPr>
            </w:pPr>
            <w:r w:rsidRPr="0017056F">
              <w:rPr>
                <w:rFonts w:ascii="Arial" w:hAnsi="Arial" w:cs="Arial"/>
                <w:b/>
                <w:sz w:val="28"/>
                <w:szCs w:val="28"/>
              </w:rPr>
              <w:t xml:space="preserve">Recommendations </w:t>
            </w:r>
          </w:p>
          <w:p w14:paraId="42ABC536" w14:textId="77777777" w:rsidR="00772C76" w:rsidRPr="0017056F" w:rsidRDefault="00772C76" w:rsidP="00287247">
            <w:pPr>
              <w:rPr>
                <w:rFonts w:ascii="Arial" w:hAnsi="Arial" w:cs="Arial"/>
                <w:b/>
                <w:sz w:val="28"/>
                <w:szCs w:val="28"/>
              </w:rPr>
            </w:pPr>
          </w:p>
          <w:p w14:paraId="52B977D1" w14:textId="77777777" w:rsidR="00772C76" w:rsidRPr="0017056F" w:rsidRDefault="00772C76" w:rsidP="00287247">
            <w:pPr>
              <w:rPr>
                <w:rFonts w:ascii="Arial" w:hAnsi="Arial" w:cs="Arial"/>
                <w:b/>
                <w:sz w:val="28"/>
                <w:szCs w:val="28"/>
              </w:rPr>
            </w:pPr>
          </w:p>
        </w:tc>
        <w:tc>
          <w:tcPr>
            <w:tcW w:w="5560" w:type="dxa"/>
          </w:tcPr>
          <w:p w14:paraId="3036668B" w14:textId="77777777" w:rsidR="00772C76" w:rsidRPr="0017056F" w:rsidRDefault="00E83ACA" w:rsidP="00287247">
            <w:pPr>
              <w:rPr>
                <w:rFonts w:ascii="Arial" w:hAnsi="Arial" w:cs="Arial"/>
                <w:sz w:val="24"/>
                <w:szCs w:val="24"/>
              </w:rPr>
            </w:pPr>
            <w:r w:rsidRPr="0017056F">
              <w:rPr>
                <w:rFonts w:ascii="Arial" w:hAnsi="Arial" w:cs="Arial"/>
                <w:sz w:val="24"/>
                <w:szCs w:val="24"/>
              </w:rPr>
              <w:t>For Board</w:t>
            </w:r>
            <w:r w:rsidR="00772C76" w:rsidRPr="0017056F">
              <w:rPr>
                <w:rFonts w:ascii="Arial" w:hAnsi="Arial" w:cs="Arial"/>
                <w:sz w:val="24"/>
                <w:szCs w:val="24"/>
              </w:rPr>
              <w:t>:</w:t>
            </w:r>
          </w:p>
          <w:p w14:paraId="32089F44" w14:textId="77777777" w:rsidR="00772C76" w:rsidRPr="0017056F" w:rsidRDefault="00772C76" w:rsidP="00287247">
            <w:pPr>
              <w:rPr>
                <w:rFonts w:ascii="Arial" w:hAnsi="Arial" w:cs="Arial"/>
                <w:sz w:val="24"/>
                <w:szCs w:val="24"/>
              </w:rPr>
            </w:pPr>
            <w:r w:rsidRPr="0017056F">
              <w:rPr>
                <w:rFonts w:ascii="Arial" w:hAnsi="Arial" w:cs="Arial"/>
                <w:sz w:val="24"/>
                <w:szCs w:val="24"/>
              </w:rPr>
              <w:t>To note the contents of the report and approve all corrective action where proposed.</w:t>
            </w:r>
          </w:p>
        </w:tc>
      </w:tr>
      <w:tr w:rsidR="0017056F" w:rsidRPr="0017056F" w14:paraId="5404144C" w14:textId="77777777" w:rsidTr="00347094">
        <w:trPr>
          <w:jc w:val="center"/>
        </w:trPr>
        <w:tc>
          <w:tcPr>
            <w:tcW w:w="2968" w:type="dxa"/>
          </w:tcPr>
          <w:p w14:paraId="212D6CD2" w14:textId="77777777" w:rsidR="00772C76" w:rsidRPr="0017056F" w:rsidRDefault="00772C76" w:rsidP="00287247">
            <w:pPr>
              <w:rPr>
                <w:rFonts w:ascii="Arial" w:hAnsi="Arial" w:cs="Arial"/>
                <w:b/>
                <w:sz w:val="28"/>
                <w:szCs w:val="28"/>
              </w:rPr>
            </w:pPr>
            <w:r w:rsidRPr="0017056F">
              <w:rPr>
                <w:rFonts w:ascii="Arial" w:hAnsi="Arial" w:cs="Arial"/>
                <w:b/>
                <w:sz w:val="28"/>
                <w:szCs w:val="28"/>
              </w:rPr>
              <w:t>Financial implications</w:t>
            </w:r>
          </w:p>
          <w:p w14:paraId="66B48A9B" w14:textId="77777777" w:rsidR="00772C76" w:rsidRPr="0017056F" w:rsidRDefault="00772C76" w:rsidP="00287247">
            <w:pPr>
              <w:rPr>
                <w:rFonts w:ascii="Arial" w:hAnsi="Arial" w:cs="Arial"/>
                <w:b/>
                <w:sz w:val="28"/>
                <w:szCs w:val="28"/>
              </w:rPr>
            </w:pPr>
          </w:p>
          <w:p w14:paraId="37363FBD" w14:textId="77777777" w:rsidR="00772C76" w:rsidRPr="0017056F" w:rsidRDefault="00772C76" w:rsidP="00287247">
            <w:pPr>
              <w:rPr>
                <w:rFonts w:ascii="Arial" w:hAnsi="Arial" w:cs="Arial"/>
                <w:b/>
                <w:sz w:val="28"/>
                <w:szCs w:val="28"/>
              </w:rPr>
            </w:pPr>
          </w:p>
        </w:tc>
        <w:tc>
          <w:tcPr>
            <w:tcW w:w="5560" w:type="dxa"/>
          </w:tcPr>
          <w:p w14:paraId="373810EC" w14:textId="77777777" w:rsidR="00772C76" w:rsidRPr="0017056F" w:rsidRDefault="00772C76" w:rsidP="00287247">
            <w:pPr>
              <w:rPr>
                <w:rFonts w:ascii="Arial" w:hAnsi="Arial" w:cs="Arial"/>
                <w:sz w:val="24"/>
                <w:szCs w:val="24"/>
              </w:rPr>
            </w:pPr>
            <w:r w:rsidRPr="0017056F">
              <w:rPr>
                <w:rFonts w:ascii="Arial" w:hAnsi="Arial" w:cs="Arial"/>
                <w:sz w:val="24"/>
                <w:szCs w:val="24"/>
              </w:rPr>
              <w:t>This report is a part of the ongoing financial monitoring of the Association.</w:t>
            </w:r>
          </w:p>
          <w:p w14:paraId="7CEE10B6" w14:textId="77777777" w:rsidR="00772C76" w:rsidRPr="0017056F" w:rsidRDefault="00772C76" w:rsidP="00287247">
            <w:pPr>
              <w:rPr>
                <w:rFonts w:ascii="Arial" w:hAnsi="Arial" w:cs="Arial"/>
                <w:sz w:val="24"/>
                <w:szCs w:val="24"/>
              </w:rPr>
            </w:pPr>
          </w:p>
        </w:tc>
      </w:tr>
      <w:tr w:rsidR="0017056F" w:rsidRPr="0017056F" w14:paraId="103B45BB" w14:textId="77777777" w:rsidTr="00347094">
        <w:trPr>
          <w:jc w:val="center"/>
        </w:trPr>
        <w:tc>
          <w:tcPr>
            <w:tcW w:w="2968" w:type="dxa"/>
          </w:tcPr>
          <w:p w14:paraId="3B8B7CF4" w14:textId="77777777" w:rsidR="00772C76" w:rsidRPr="0017056F" w:rsidRDefault="00772C76" w:rsidP="00287247">
            <w:pPr>
              <w:rPr>
                <w:rFonts w:ascii="Arial" w:hAnsi="Arial" w:cs="Arial"/>
                <w:b/>
                <w:sz w:val="28"/>
                <w:szCs w:val="28"/>
              </w:rPr>
            </w:pPr>
            <w:r w:rsidRPr="0017056F">
              <w:rPr>
                <w:rFonts w:ascii="Arial" w:hAnsi="Arial" w:cs="Arial"/>
                <w:b/>
                <w:sz w:val="28"/>
                <w:szCs w:val="28"/>
              </w:rPr>
              <w:t>Equal Opportunities implications</w:t>
            </w:r>
          </w:p>
        </w:tc>
        <w:tc>
          <w:tcPr>
            <w:tcW w:w="5560" w:type="dxa"/>
          </w:tcPr>
          <w:p w14:paraId="71457235" w14:textId="77777777" w:rsidR="00772C76" w:rsidRPr="0017056F" w:rsidRDefault="00772C76" w:rsidP="00287247">
            <w:pPr>
              <w:rPr>
                <w:rFonts w:ascii="Arial" w:hAnsi="Arial" w:cs="Arial"/>
                <w:sz w:val="24"/>
                <w:szCs w:val="24"/>
              </w:rPr>
            </w:pPr>
            <w:r w:rsidRPr="0017056F">
              <w:rPr>
                <w:rFonts w:ascii="Arial" w:hAnsi="Arial" w:cs="Arial"/>
                <w:sz w:val="24"/>
                <w:szCs w:val="24"/>
              </w:rPr>
              <w:t>None</w:t>
            </w:r>
          </w:p>
        </w:tc>
      </w:tr>
      <w:tr w:rsidR="0017056F" w:rsidRPr="0017056F" w14:paraId="64CE6369" w14:textId="77777777" w:rsidTr="00347094">
        <w:trPr>
          <w:jc w:val="center"/>
        </w:trPr>
        <w:tc>
          <w:tcPr>
            <w:tcW w:w="2968" w:type="dxa"/>
          </w:tcPr>
          <w:p w14:paraId="4CEECEC1" w14:textId="77777777" w:rsidR="00772C76" w:rsidRPr="0017056F" w:rsidRDefault="00772C76" w:rsidP="00287247">
            <w:pPr>
              <w:rPr>
                <w:rFonts w:ascii="Arial" w:hAnsi="Arial" w:cs="Arial"/>
                <w:b/>
                <w:sz w:val="28"/>
                <w:szCs w:val="28"/>
              </w:rPr>
            </w:pPr>
            <w:r w:rsidRPr="0017056F">
              <w:rPr>
                <w:rFonts w:ascii="Arial" w:hAnsi="Arial" w:cs="Arial"/>
                <w:b/>
                <w:sz w:val="28"/>
                <w:szCs w:val="28"/>
              </w:rPr>
              <w:t>Health &amp; Safety implications</w:t>
            </w:r>
          </w:p>
        </w:tc>
        <w:tc>
          <w:tcPr>
            <w:tcW w:w="5560" w:type="dxa"/>
          </w:tcPr>
          <w:p w14:paraId="007EA852" w14:textId="77777777" w:rsidR="00772C76" w:rsidRPr="0017056F" w:rsidRDefault="00772C76" w:rsidP="00287247">
            <w:pPr>
              <w:rPr>
                <w:rFonts w:ascii="Arial" w:hAnsi="Arial" w:cs="Arial"/>
                <w:sz w:val="24"/>
                <w:szCs w:val="24"/>
              </w:rPr>
            </w:pPr>
            <w:r w:rsidRPr="0017056F">
              <w:rPr>
                <w:rFonts w:ascii="Arial" w:hAnsi="Arial" w:cs="Arial"/>
                <w:sz w:val="24"/>
                <w:szCs w:val="24"/>
              </w:rPr>
              <w:t>None</w:t>
            </w:r>
          </w:p>
          <w:p w14:paraId="160BFBFA" w14:textId="77777777" w:rsidR="00772C76" w:rsidRPr="0017056F" w:rsidRDefault="00772C76" w:rsidP="00287247">
            <w:pPr>
              <w:rPr>
                <w:rFonts w:ascii="Arial" w:hAnsi="Arial" w:cs="Arial"/>
                <w:sz w:val="24"/>
                <w:szCs w:val="24"/>
              </w:rPr>
            </w:pPr>
          </w:p>
        </w:tc>
      </w:tr>
      <w:tr w:rsidR="0017056F" w:rsidRPr="0017056F" w14:paraId="526FA8A1" w14:textId="77777777" w:rsidTr="00347094">
        <w:trPr>
          <w:jc w:val="center"/>
        </w:trPr>
        <w:tc>
          <w:tcPr>
            <w:tcW w:w="2968" w:type="dxa"/>
          </w:tcPr>
          <w:p w14:paraId="5CC8A453" w14:textId="77777777" w:rsidR="00772C76" w:rsidRPr="0017056F" w:rsidRDefault="00772C76" w:rsidP="00287247">
            <w:pPr>
              <w:rPr>
                <w:rFonts w:ascii="Arial" w:hAnsi="Arial" w:cs="Arial"/>
                <w:b/>
                <w:sz w:val="28"/>
                <w:szCs w:val="28"/>
              </w:rPr>
            </w:pPr>
            <w:r w:rsidRPr="0017056F">
              <w:rPr>
                <w:rFonts w:ascii="Arial" w:hAnsi="Arial" w:cs="Arial"/>
                <w:b/>
                <w:sz w:val="28"/>
                <w:szCs w:val="28"/>
              </w:rPr>
              <w:t>Risk implications</w:t>
            </w:r>
          </w:p>
          <w:p w14:paraId="1854D8F9" w14:textId="77777777" w:rsidR="00772C76" w:rsidRPr="0017056F" w:rsidRDefault="00772C76" w:rsidP="00287247">
            <w:pPr>
              <w:rPr>
                <w:rFonts w:ascii="Arial" w:hAnsi="Arial" w:cs="Arial"/>
                <w:b/>
                <w:sz w:val="28"/>
                <w:szCs w:val="28"/>
              </w:rPr>
            </w:pPr>
          </w:p>
        </w:tc>
        <w:tc>
          <w:tcPr>
            <w:tcW w:w="5560" w:type="dxa"/>
          </w:tcPr>
          <w:p w14:paraId="0A14939D" w14:textId="77777777" w:rsidR="00772C76" w:rsidRPr="0017056F" w:rsidRDefault="00772C76" w:rsidP="00287247">
            <w:pPr>
              <w:rPr>
                <w:rFonts w:ascii="Arial" w:hAnsi="Arial" w:cs="Arial"/>
                <w:sz w:val="24"/>
                <w:szCs w:val="24"/>
              </w:rPr>
            </w:pPr>
            <w:r w:rsidRPr="0017056F">
              <w:rPr>
                <w:rFonts w:ascii="Arial" w:hAnsi="Arial" w:cs="Arial"/>
                <w:sz w:val="24"/>
                <w:szCs w:val="24"/>
              </w:rPr>
              <w:t>As per Financial Implications.</w:t>
            </w:r>
          </w:p>
        </w:tc>
      </w:tr>
      <w:tr w:rsidR="0017056F" w:rsidRPr="0017056F" w14:paraId="11506345" w14:textId="77777777" w:rsidTr="00347094">
        <w:trPr>
          <w:jc w:val="center"/>
        </w:trPr>
        <w:tc>
          <w:tcPr>
            <w:tcW w:w="2968" w:type="dxa"/>
          </w:tcPr>
          <w:p w14:paraId="20A503FA" w14:textId="77777777" w:rsidR="00772C76" w:rsidRPr="0017056F" w:rsidRDefault="00772C76" w:rsidP="00E72712">
            <w:pPr>
              <w:rPr>
                <w:rFonts w:ascii="Arial" w:hAnsi="Arial" w:cs="Arial"/>
                <w:b/>
                <w:sz w:val="28"/>
                <w:szCs w:val="28"/>
              </w:rPr>
            </w:pPr>
            <w:r w:rsidRPr="0017056F">
              <w:rPr>
                <w:rFonts w:ascii="Arial" w:hAnsi="Arial" w:cs="Arial"/>
                <w:b/>
                <w:sz w:val="28"/>
                <w:szCs w:val="28"/>
              </w:rPr>
              <w:t>Charter implications</w:t>
            </w:r>
          </w:p>
          <w:p w14:paraId="75965F57" w14:textId="77777777" w:rsidR="00772C76" w:rsidRPr="0017056F" w:rsidRDefault="00772C76" w:rsidP="00E72712">
            <w:pPr>
              <w:rPr>
                <w:rFonts w:ascii="Arial" w:hAnsi="Arial" w:cs="Arial"/>
                <w:b/>
                <w:sz w:val="28"/>
                <w:szCs w:val="28"/>
              </w:rPr>
            </w:pPr>
          </w:p>
          <w:p w14:paraId="24D47E6C" w14:textId="77777777" w:rsidR="00772C76" w:rsidRPr="0017056F" w:rsidRDefault="00772C76" w:rsidP="00E72712">
            <w:pPr>
              <w:rPr>
                <w:rFonts w:ascii="Arial" w:hAnsi="Arial" w:cs="Arial"/>
                <w:b/>
                <w:sz w:val="28"/>
                <w:szCs w:val="28"/>
              </w:rPr>
            </w:pPr>
          </w:p>
        </w:tc>
        <w:tc>
          <w:tcPr>
            <w:tcW w:w="5560" w:type="dxa"/>
          </w:tcPr>
          <w:p w14:paraId="0702CBC8" w14:textId="77777777" w:rsidR="00772C76" w:rsidRPr="0017056F" w:rsidRDefault="00772C76" w:rsidP="00E72712">
            <w:pPr>
              <w:rPr>
                <w:rFonts w:ascii="Arial" w:hAnsi="Arial" w:cs="Arial"/>
                <w:sz w:val="24"/>
                <w:szCs w:val="24"/>
              </w:rPr>
            </w:pPr>
            <w:r w:rsidRPr="0017056F">
              <w:rPr>
                <w:rFonts w:ascii="Arial" w:hAnsi="Arial" w:cs="Arial"/>
                <w:sz w:val="24"/>
                <w:szCs w:val="24"/>
              </w:rPr>
              <w:t>None</w:t>
            </w:r>
          </w:p>
        </w:tc>
      </w:tr>
      <w:tr w:rsidR="0017056F" w:rsidRPr="0017056F" w14:paraId="34A6AA4E" w14:textId="77777777" w:rsidTr="00347094">
        <w:trPr>
          <w:jc w:val="center"/>
        </w:trPr>
        <w:tc>
          <w:tcPr>
            <w:tcW w:w="2968" w:type="dxa"/>
          </w:tcPr>
          <w:p w14:paraId="53FCF69A" w14:textId="77777777" w:rsidR="00772C76" w:rsidRPr="0017056F" w:rsidRDefault="00772C76" w:rsidP="00E72712">
            <w:pPr>
              <w:rPr>
                <w:rFonts w:ascii="Arial" w:hAnsi="Arial" w:cs="Arial"/>
                <w:b/>
                <w:sz w:val="28"/>
                <w:szCs w:val="28"/>
              </w:rPr>
            </w:pPr>
            <w:r w:rsidRPr="0017056F">
              <w:rPr>
                <w:rFonts w:ascii="Arial" w:hAnsi="Arial" w:cs="Arial"/>
                <w:b/>
                <w:sz w:val="28"/>
                <w:szCs w:val="28"/>
              </w:rPr>
              <w:t>New Regulatory Framework Implications</w:t>
            </w:r>
          </w:p>
          <w:p w14:paraId="2A8D560D" w14:textId="77777777" w:rsidR="00772C76" w:rsidRPr="0017056F" w:rsidRDefault="00772C76" w:rsidP="00E72712">
            <w:pPr>
              <w:rPr>
                <w:rFonts w:ascii="Arial" w:hAnsi="Arial" w:cs="Arial"/>
                <w:b/>
                <w:sz w:val="28"/>
                <w:szCs w:val="28"/>
              </w:rPr>
            </w:pPr>
          </w:p>
          <w:p w14:paraId="0B2AFDFA" w14:textId="77777777" w:rsidR="00772C76" w:rsidRPr="0017056F" w:rsidRDefault="00772C76" w:rsidP="00E72712">
            <w:pPr>
              <w:rPr>
                <w:rFonts w:ascii="Arial" w:hAnsi="Arial" w:cs="Arial"/>
                <w:b/>
                <w:sz w:val="28"/>
                <w:szCs w:val="28"/>
              </w:rPr>
            </w:pPr>
          </w:p>
        </w:tc>
        <w:tc>
          <w:tcPr>
            <w:tcW w:w="5560" w:type="dxa"/>
          </w:tcPr>
          <w:p w14:paraId="0B5E1DB7" w14:textId="77777777" w:rsidR="00772C76" w:rsidRPr="0017056F" w:rsidRDefault="00772C76" w:rsidP="00E72712">
            <w:pPr>
              <w:rPr>
                <w:rFonts w:ascii="Arial" w:hAnsi="Arial" w:cs="Arial"/>
                <w:sz w:val="24"/>
                <w:szCs w:val="24"/>
              </w:rPr>
            </w:pPr>
            <w:r w:rsidRPr="0017056F">
              <w:rPr>
                <w:rFonts w:ascii="Arial" w:hAnsi="Arial" w:cs="Arial"/>
                <w:sz w:val="24"/>
                <w:szCs w:val="24"/>
              </w:rPr>
              <w:t>3. The RSL manages its resources to ensure its financial well-being and economic effectiveness</w:t>
            </w:r>
          </w:p>
        </w:tc>
      </w:tr>
      <w:tr w:rsidR="0056076D" w:rsidRPr="0017056F" w14:paraId="32D0D63B" w14:textId="77777777" w:rsidTr="00347094">
        <w:trPr>
          <w:jc w:val="center"/>
        </w:trPr>
        <w:tc>
          <w:tcPr>
            <w:tcW w:w="2968" w:type="dxa"/>
          </w:tcPr>
          <w:p w14:paraId="78E04E58" w14:textId="77777777" w:rsidR="00772C76" w:rsidRPr="0017056F" w:rsidRDefault="00772C76" w:rsidP="00E72712">
            <w:pPr>
              <w:rPr>
                <w:rFonts w:ascii="Arial" w:hAnsi="Arial" w:cs="Arial"/>
                <w:b/>
                <w:sz w:val="28"/>
                <w:szCs w:val="28"/>
              </w:rPr>
            </w:pPr>
            <w:r w:rsidRPr="0017056F">
              <w:rPr>
                <w:rFonts w:ascii="Arial" w:hAnsi="Arial" w:cs="Arial"/>
                <w:b/>
                <w:sz w:val="28"/>
                <w:szCs w:val="28"/>
              </w:rPr>
              <w:t>Relevance to Business Plan</w:t>
            </w:r>
          </w:p>
        </w:tc>
        <w:tc>
          <w:tcPr>
            <w:tcW w:w="5560" w:type="dxa"/>
          </w:tcPr>
          <w:p w14:paraId="502A8845" w14:textId="77777777" w:rsidR="00772C76" w:rsidRPr="0017056F" w:rsidRDefault="00772C76" w:rsidP="00A535EB">
            <w:pPr>
              <w:rPr>
                <w:rFonts w:ascii="Arial" w:hAnsi="Arial" w:cs="Arial"/>
                <w:sz w:val="24"/>
                <w:szCs w:val="24"/>
              </w:rPr>
            </w:pPr>
            <w:r w:rsidRPr="0017056F">
              <w:rPr>
                <w:rFonts w:ascii="Arial" w:hAnsi="Arial" w:cs="Arial"/>
                <w:sz w:val="24"/>
                <w:szCs w:val="24"/>
                <w:lang w:val="en-US"/>
              </w:rPr>
              <w:t>5. VIABILITY-Ensure the financial and organisational viability of the Association</w:t>
            </w:r>
            <w:r w:rsidRPr="0017056F">
              <w:rPr>
                <w:rFonts w:ascii="Arial" w:hAnsi="Arial" w:cs="Arial"/>
                <w:sz w:val="24"/>
                <w:szCs w:val="24"/>
              </w:rPr>
              <w:t>.</w:t>
            </w:r>
          </w:p>
          <w:p w14:paraId="0ABA941D" w14:textId="77777777" w:rsidR="00772C76" w:rsidRPr="0017056F" w:rsidRDefault="00772C76" w:rsidP="00E72712">
            <w:pPr>
              <w:rPr>
                <w:rFonts w:ascii="Arial" w:hAnsi="Arial" w:cs="Arial"/>
                <w:b/>
                <w:sz w:val="24"/>
                <w:szCs w:val="24"/>
              </w:rPr>
            </w:pPr>
          </w:p>
        </w:tc>
      </w:tr>
    </w:tbl>
    <w:p w14:paraId="10B76A08" w14:textId="77777777" w:rsidR="00772C76" w:rsidRPr="0017056F" w:rsidRDefault="00772C76" w:rsidP="00033CB2">
      <w:pPr>
        <w:rPr>
          <w:rFonts w:ascii="Arial" w:hAnsi="Arial" w:cs="Arial"/>
          <w:sz w:val="16"/>
          <w:szCs w:val="16"/>
        </w:rPr>
      </w:pPr>
    </w:p>
    <w:p w14:paraId="676B6B27" w14:textId="77777777" w:rsidR="00347094" w:rsidRPr="0017056F" w:rsidRDefault="00347094" w:rsidP="00033CB2">
      <w:pPr>
        <w:rPr>
          <w:rFonts w:ascii="Arial" w:hAnsi="Arial" w:cs="Arial"/>
          <w:sz w:val="16"/>
          <w:szCs w:val="16"/>
        </w:rPr>
      </w:pPr>
    </w:p>
    <w:p w14:paraId="1EFAA47E" w14:textId="77777777" w:rsidR="00347094" w:rsidRPr="0017056F" w:rsidRDefault="00347094" w:rsidP="00033CB2">
      <w:pPr>
        <w:rPr>
          <w:rFonts w:ascii="Arial" w:hAnsi="Arial" w:cs="Arial"/>
          <w:sz w:val="16"/>
          <w:szCs w:val="16"/>
        </w:rPr>
      </w:pPr>
    </w:p>
    <w:p w14:paraId="108529C7" w14:textId="77777777" w:rsidR="00347094" w:rsidRPr="0017056F" w:rsidRDefault="00347094" w:rsidP="00033CB2">
      <w:pPr>
        <w:rPr>
          <w:rFonts w:ascii="Arial" w:hAnsi="Arial" w:cs="Arial"/>
          <w:sz w:val="16"/>
          <w:szCs w:val="16"/>
        </w:rPr>
      </w:pPr>
    </w:p>
    <w:p w14:paraId="5FA06D04" w14:textId="77777777" w:rsidR="00772C76" w:rsidRPr="0017056F" w:rsidRDefault="00347094" w:rsidP="00347094">
      <w:pPr>
        <w:rPr>
          <w:rFonts w:ascii="Arial" w:hAnsi="Arial" w:cs="Arial"/>
          <w:sz w:val="28"/>
          <w:szCs w:val="28"/>
        </w:rPr>
      </w:pPr>
      <w:r w:rsidRPr="0017056F">
        <w:rPr>
          <w:rFonts w:ascii="Arial" w:hAnsi="Arial" w:cs="Arial"/>
          <w:sz w:val="28"/>
          <w:szCs w:val="28"/>
        </w:rPr>
        <w:br w:type="page"/>
      </w:r>
      <w:r w:rsidR="00A47E55" w:rsidRPr="0017056F">
        <w:rPr>
          <w:rFonts w:ascii="Arial" w:hAnsi="Arial" w:cs="Arial"/>
          <w:sz w:val="28"/>
          <w:szCs w:val="28"/>
        </w:rPr>
        <w:lastRenderedPageBreak/>
        <w:t xml:space="preserve">PAISLEY </w:t>
      </w:r>
      <w:r w:rsidR="00F90AE3" w:rsidRPr="0017056F">
        <w:rPr>
          <w:rFonts w:ascii="Arial" w:hAnsi="Arial" w:cs="Arial"/>
          <w:sz w:val="28"/>
          <w:szCs w:val="28"/>
        </w:rPr>
        <w:t xml:space="preserve">HOUSING ASSOCIATION </w:t>
      </w:r>
      <w:r w:rsidR="00772C76" w:rsidRPr="0017056F">
        <w:rPr>
          <w:rFonts w:ascii="Arial" w:hAnsi="Arial" w:cs="Arial"/>
          <w:sz w:val="28"/>
          <w:szCs w:val="28"/>
        </w:rPr>
        <w:t>REPORT</w:t>
      </w:r>
    </w:p>
    <w:p w14:paraId="2883155C" w14:textId="77777777" w:rsidR="00772C76" w:rsidRPr="0017056F" w:rsidRDefault="00772C76">
      <w:pPr>
        <w:rPr>
          <w:rFonts w:ascii="Arial" w:hAnsi="Arial" w:cs="Arial"/>
          <w:b/>
          <w:sz w:val="28"/>
          <w:szCs w:val="28"/>
        </w:rPr>
      </w:pPr>
    </w:p>
    <w:p w14:paraId="47D73B45" w14:textId="77777777" w:rsidR="00772C76" w:rsidRPr="0017056F" w:rsidRDefault="00772C76">
      <w:pPr>
        <w:pStyle w:val="Heading4"/>
        <w:rPr>
          <w:rFonts w:ascii="Arial" w:hAnsi="Arial" w:cs="Arial"/>
          <w:szCs w:val="24"/>
        </w:rPr>
      </w:pPr>
      <w:r w:rsidRPr="0017056F">
        <w:rPr>
          <w:rFonts w:ascii="Arial" w:hAnsi="Arial" w:cs="Arial"/>
          <w:szCs w:val="24"/>
        </w:rPr>
        <w:t>To:</w:t>
      </w:r>
      <w:r w:rsidRPr="0017056F">
        <w:rPr>
          <w:rFonts w:ascii="Arial" w:hAnsi="Arial" w:cs="Arial"/>
          <w:szCs w:val="24"/>
        </w:rPr>
        <w:tab/>
      </w:r>
      <w:r w:rsidRPr="0017056F">
        <w:rPr>
          <w:rFonts w:ascii="Arial" w:hAnsi="Arial" w:cs="Arial"/>
          <w:szCs w:val="24"/>
        </w:rPr>
        <w:tab/>
      </w:r>
      <w:r w:rsidRPr="0017056F">
        <w:rPr>
          <w:rFonts w:ascii="Arial" w:hAnsi="Arial" w:cs="Arial"/>
          <w:szCs w:val="24"/>
        </w:rPr>
        <w:tab/>
      </w:r>
      <w:r w:rsidRPr="0017056F">
        <w:rPr>
          <w:rFonts w:ascii="Arial" w:hAnsi="Arial" w:cs="Arial"/>
          <w:szCs w:val="24"/>
        </w:rPr>
        <w:tab/>
      </w:r>
      <w:r w:rsidR="00E83ACA" w:rsidRPr="0017056F">
        <w:rPr>
          <w:rFonts w:ascii="Arial" w:hAnsi="Arial" w:cs="Arial"/>
          <w:b w:val="0"/>
          <w:szCs w:val="24"/>
        </w:rPr>
        <w:t>Board</w:t>
      </w:r>
    </w:p>
    <w:p w14:paraId="27099F88" w14:textId="77777777" w:rsidR="00772C76" w:rsidRPr="0017056F" w:rsidRDefault="00772C76">
      <w:pPr>
        <w:rPr>
          <w:rFonts w:ascii="Arial" w:hAnsi="Arial" w:cs="Arial"/>
          <w:b/>
          <w:sz w:val="24"/>
          <w:szCs w:val="24"/>
        </w:rPr>
      </w:pPr>
    </w:p>
    <w:p w14:paraId="3739F99A" w14:textId="4CE486BC" w:rsidR="00C053FD" w:rsidRPr="0017056F" w:rsidRDefault="00772C76" w:rsidP="001310DD">
      <w:pPr>
        <w:rPr>
          <w:rFonts w:ascii="Arial" w:hAnsi="Arial" w:cs="Arial"/>
          <w:sz w:val="24"/>
          <w:szCs w:val="24"/>
        </w:rPr>
      </w:pPr>
      <w:r w:rsidRPr="0017056F">
        <w:rPr>
          <w:rFonts w:ascii="Arial" w:hAnsi="Arial" w:cs="Arial"/>
          <w:b/>
          <w:sz w:val="24"/>
          <w:szCs w:val="24"/>
        </w:rPr>
        <w:t>Date of meeting:</w:t>
      </w:r>
      <w:r w:rsidRPr="0017056F">
        <w:rPr>
          <w:rFonts w:ascii="Arial" w:hAnsi="Arial" w:cs="Arial"/>
          <w:b/>
          <w:sz w:val="24"/>
          <w:szCs w:val="24"/>
        </w:rPr>
        <w:tab/>
      </w:r>
      <w:r w:rsidRPr="0017056F">
        <w:rPr>
          <w:rFonts w:ascii="Arial" w:hAnsi="Arial" w:cs="Arial"/>
          <w:b/>
          <w:sz w:val="24"/>
          <w:szCs w:val="24"/>
        </w:rPr>
        <w:tab/>
      </w:r>
      <w:r w:rsidR="0034266B" w:rsidRPr="0034266B">
        <w:rPr>
          <w:rFonts w:ascii="Arial" w:hAnsi="Arial" w:cs="Arial"/>
          <w:sz w:val="22"/>
          <w:szCs w:val="22"/>
        </w:rPr>
        <w:t>21</w:t>
      </w:r>
      <w:r w:rsidR="0034266B" w:rsidRPr="0034266B">
        <w:rPr>
          <w:rFonts w:ascii="Arial" w:hAnsi="Arial" w:cs="Arial"/>
          <w:sz w:val="22"/>
          <w:szCs w:val="22"/>
          <w:vertAlign w:val="superscript"/>
        </w:rPr>
        <w:t>st</w:t>
      </w:r>
      <w:r w:rsidR="0034266B">
        <w:rPr>
          <w:rFonts w:ascii="Arial" w:hAnsi="Arial" w:cs="Arial"/>
          <w:sz w:val="22"/>
          <w:szCs w:val="22"/>
        </w:rPr>
        <w:t xml:space="preserve"> </w:t>
      </w:r>
      <w:r w:rsidR="0034266B" w:rsidRPr="0034266B">
        <w:rPr>
          <w:rFonts w:ascii="Arial" w:hAnsi="Arial" w:cs="Arial"/>
          <w:sz w:val="22"/>
          <w:szCs w:val="22"/>
        </w:rPr>
        <w:t>February 2022</w:t>
      </w:r>
    </w:p>
    <w:p w14:paraId="46295094" w14:textId="77777777" w:rsidR="00772C76" w:rsidRPr="0017056F" w:rsidRDefault="00772C76">
      <w:pPr>
        <w:rPr>
          <w:rFonts w:ascii="Arial" w:hAnsi="Arial" w:cs="Arial"/>
          <w:b/>
          <w:sz w:val="24"/>
          <w:szCs w:val="24"/>
        </w:rPr>
      </w:pPr>
    </w:p>
    <w:p w14:paraId="3A050A1E" w14:textId="77777777" w:rsidR="00772C76" w:rsidRPr="0017056F" w:rsidRDefault="00772C76" w:rsidP="001310DD">
      <w:pPr>
        <w:rPr>
          <w:rFonts w:ascii="Arial" w:hAnsi="Arial" w:cs="Arial"/>
          <w:sz w:val="24"/>
          <w:szCs w:val="24"/>
        </w:rPr>
      </w:pPr>
      <w:r w:rsidRPr="0017056F">
        <w:rPr>
          <w:rFonts w:ascii="Arial" w:hAnsi="Arial" w:cs="Arial"/>
          <w:b/>
          <w:sz w:val="24"/>
          <w:szCs w:val="24"/>
        </w:rPr>
        <w:t>Report by:</w:t>
      </w:r>
      <w:r w:rsidRPr="0017056F">
        <w:rPr>
          <w:rFonts w:ascii="Arial" w:hAnsi="Arial" w:cs="Arial"/>
          <w:b/>
          <w:sz w:val="24"/>
          <w:szCs w:val="24"/>
        </w:rPr>
        <w:tab/>
      </w:r>
      <w:r w:rsidRPr="0017056F">
        <w:rPr>
          <w:rFonts w:ascii="Arial" w:hAnsi="Arial" w:cs="Arial"/>
          <w:b/>
          <w:sz w:val="24"/>
          <w:szCs w:val="24"/>
        </w:rPr>
        <w:tab/>
      </w:r>
      <w:r w:rsidRPr="0017056F">
        <w:rPr>
          <w:rFonts w:ascii="Arial" w:hAnsi="Arial" w:cs="Arial"/>
          <w:b/>
          <w:sz w:val="24"/>
          <w:szCs w:val="24"/>
        </w:rPr>
        <w:tab/>
      </w:r>
      <w:r w:rsidR="00A25D1C" w:rsidRPr="0017056F">
        <w:rPr>
          <w:rFonts w:ascii="Arial" w:hAnsi="Arial" w:cs="Arial"/>
          <w:sz w:val="24"/>
          <w:szCs w:val="24"/>
        </w:rPr>
        <w:t xml:space="preserve">Head of </w:t>
      </w:r>
      <w:r w:rsidRPr="0017056F">
        <w:rPr>
          <w:rFonts w:ascii="Arial" w:hAnsi="Arial" w:cs="Arial"/>
          <w:sz w:val="24"/>
          <w:szCs w:val="24"/>
        </w:rPr>
        <w:t>Finance</w:t>
      </w:r>
      <w:r w:rsidR="00C64D2F" w:rsidRPr="0017056F">
        <w:rPr>
          <w:rFonts w:ascii="Arial" w:hAnsi="Arial" w:cs="Arial"/>
          <w:sz w:val="24"/>
          <w:szCs w:val="24"/>
        </w:rPr>
        <w:t xml:space="preserve"> &amp; IT</w:t>
      </w:r>
      <w:r w:rsidRPr="0017056F">
        <w:rPr>
          <w:rFonts w:ascii="Arial" w:hAnsi="Arial" w:cs="Arial"/>
          <w:sz w:val="24"/>
          <w:szCs w:val="24"/>
        </w:rPr>
        <w:t xml:space="preserve"> </w:t>
      </w:r>
    </w:p>
    <w:p w14:paraId="6E61FE42" w14:textId="77777777" w:rsidR="00772C76" w:rsidRPr="0017056F" w:rsidRDefault="00772C76">
      <w:pPr>
        <w:rPr>
          <w:rFonts w:ascii="Arial" w:hAnsi="Arial" w:cs="Arial"/>
          <w:b/>
          <w:sz w:val="24"/>
          <w:szCs w:val="24"/>
        </w:rPr>
      </w:pPr>
    </w:p>
    <w:p w14:paraId="40641041" w14:textId="2A584BE4" w:rsidR="001C62EF" w:rsidRPr="0017056F" w:rsidRDefault="00772C76" w:rsidP="00BF2FD2">
      <w:pPr>
        <w:ind w:left="2880" w:right="-619" w:hanging="2880"/>
        <w:rPr>
          <w:rFonts w:ascii="Arial" w:hAnsi="Arial" w:cs="Arial"/>
          <w:sz w:val="22"/>
          <w:szCs w:val="22"/>
        </w:rPr>
      </w:pPr>
      <w:r w:rsidRPr="0017056F">
        <w:rPr>
          <w:rFonts w:ascii="Arial" w:hAnsi="Arial" w:cs="Arial"/>
          <w:b/>
          <w:sz w:val="24"/>
          <w:szCs w:val="24"/>
        </w:rPr>
        <w:t>Subject:</w:t>
      </w:r>
      <w:r w:rsidRPr="0017056F">
        <w:rPr>
          <w:rFonts w:ascii="Arial" w:hAnsi="Arial" w:cs="Arial"/>
          <w:b/>
          <w:sz w:val="24"/>
          <w:szCs w:val="24"/>
        </w:rPr>
        <w:tab/>
      </w:r>
      <w:r w:rsidRPr="0017056F">
        <w:rPr>
          <w:rFonts w:ascii="Arial" w:hAnsi="Arial" w:cs="Arial"/>
          <w:sz w:val="22"/>
          <w:szCs w:val="22"/>
        </w:rPr>
        <w:t>Quarterly Management Accounts: Q</w:t>
      </w:r>
      <w:r w:rsidR="0034266B">
        <w:rPr>
          <w:rFonts w:ascii="Arial" w:hAnsi="Arial" w:cs="Arial"/>
          <w:sz w:val="22"/>
          <w:szCs w:val="22"/>
        </w:rPr>
        <w:t>3</w:t>
      </w:r>
      <w:r w:rsidR="001C62EF" w:rsidRPr="0017056F">
        <w:rPr>
          <w:rFonts w:ascii="Arial" w:hAnsi="Arial" w:cs="Arial"/>
          <w:sz w:val="22"/>
          <w:szCs w:val="22"/>
        </w:rPr>
        <w:t xml:space="preserve"> </w:t>
      </w:r>
      <w:r w:rsidR="007D4D5A" w:rsidRPr="0017056F">
        <w:rPr>
          <w:rFonts w:ascii="Arial" w:hAnsi="Arial" w:cs="Arial"/>
          <w:sz w:val="22"/>
          <w:szCs w:val="22"/>
        </w:rPr>
        <w:t xml:space="preserve"> </w:t>
      </w:r>
      <w:r w:rsidRPr="0017056F">
        <w:rPr>
          <w:rFonts w:ascii="Arial" w:hAnsi="Arial" w:cs="Arial"/>
          <w:sz w:val="22"/>
          <w:szCs w:val="22"/>
        </w:rPr>
        <w:t xml:space="preserve">to </w:t>
      </w:r>
      <w:r w:rsidR="0034266B">
        <w:rPr>
          <w:rFonts w:ascii="Arial" w:hAnsi="Arial" w:cs="Arial"/>
          <w:sz w:val="22"/>
          <w:szCs w:val="22"/>
        </w:rPr>
        <w:t>Decem</w:t>
      </w:r>
      <w:r w:rsidR="001C62EF" w:rsidRPr="0017056F">
        <w:rPr>
          <w:rFonts w:ascii="Arial" w:hAnsi="Arial" w:cs="Arial"/>
          <w:sz w:val="22"/>
          <w:szCs w:val="22"/>
        </w:rPr>
        <w:t xml:space="preserve">ber </w:t>
      </w:r>
      <w:r w:rsidR="005B68AC" w:rsidRPr="0017056F">
        <w:rPr>
          <w:rFonts w:ascii="Arial" w:hAnsi="Arial" w:cs="Arial"/>
          <w:sz w:val="22"/>
          <w:szCs w:val="22"/>
        </w:rPr>
        <w:t>21</w:t>
      </w:r>
      <w:r w:rsidR="00DE4B23" w:rsidRPr="0017056F">
        <w:rPr>
          <w:rFonts w:ascii="Arial" w:hAnsi="Arial" w:cs="Arial"/>
          <w:sz w:val="22"/>
          <w:szCs w:val="22"/>
        </w:rPr>
        <w:t xml:space="preserve"> </w:t>
      </w:r>
      <w:r w:rsidR="00702166" w:rsidRPr="0017056F">
        <w:rPr>
          <w:rFonts w:ascii="Arial" w:hAnsi="Arial" w:cs="Arial"/>
          <w:sz w:val="22"/>
          <w:szCs w:val="22"/>
        </w:rPr>
        <w:t xml:space="preserve"> </w:t>
      </w:r>
    </w:p>
    <w:p w14:paraId="59D06534" w14:textId="7CC2279F" w:rsidR="00772C76" w:rsidRPr="0017056F" w:rsidRDefault="00702166" w:rsidP="001C62EF">
      <w:pPr>
        <w:ind w:left="2880" w:right="-619"/>
        <w:rPr>
          <w:rFonts w:ascii="Arial" w:hAnsi="Arial" w:cs="Arial"/>
          <w:b/>
          <w:sz w:val="22"/>
          <w:szCs w:val="22"/>
        </w:rPr>
      </w:pPr>
      <w:r w:rsidRPr="0017056F">
        <w:rPr>
          <w:rFonts w:ascii="Arial" w:hAnsi="Arial" w:cs="Arial"/>
          <w:sz w:val="22"/>
          <w:szCs w:val="22"/>
        </w:rPr>
        <w:t>(</w:t>
      </w:r>
      <w:r w:rsidR="001C62EF" w:rsidRPr="0017056F">
        <w:rPr>
          <w:rFonts w:ascii="Arial" w:hAnsi="Arial" w:cs="Arial"/>
          <w:sz w:val="22"/>
          <w:szCs w:val="22"/>
        </w:rPr>
        <w:t>April</w:t>
      </w:r>
      <w:r w:rsidR="0034266B">
        <w:rPr>
          <w:rFonts w:ascii="Arial" w:hAnsi="Arial" w:cs="Arial"/>
          <w:sz w:val="22"/>
          <w:szCs w:val="22"/>
        </w:rPr>
        <w:t xml:space="preserve"> – Dec</w:t>
      </w:r>
      <w:r w:rsidR="00892C94" w:rsidRPr="0017056F">
        <w:rPr>
          <w:rFonts w:ascii="Arial" w:hAnsi="Arial" w:cs="Arial"/>
          <w:sz w:val="22"/>
          <w:szCs w:val="22"/>
        </w:rPr>
        <w:t>21</w:t>
      </w:r>
      <w:r w:rsidR="0000776B" w:rsidRPr="0017056F">
        <w:rPr>
          <w:rFonts w:ascii="Arial" w:hAnsi="Arial" w:cs="Arial"/>
          <w:sz w:val="22"/>
          <w:szCs w:val="22"/>
        </w:rPr>
        <w:t>)</w:t>
      </w:r>
    </w:p>
    <w:p w14:paraId="2AC762B2" w14:textId="77777777" w:rsidR="00772C76" w:rsidRPr="0017056F" w:rsidRDefault="00772C76" w:rsidP="0078569E">
      <w:pPr>
        <w:rPr>
          <w:rFonts w:ascii="Arial" w:hAnsi="Arial" w:cs="Arial"/>
          <w:b/>
          <w:sz w:val="24"/>
          <w:szCs w:val="24"/>
        </w:rPr>
      </w:pPr>
    </w:p>
    <w:p w14:paraId="3E22023C" w14:textId="636EAFB5" w:rsidR="00AD078B" w:rsidRPr="0017056F" w:rsidRDefault="00772C76" w:rsidP="005E3DDD">
      <w:pPr>
        <w:rPr>
          <w:rFonts w:ascii="Arial" w:hAnsi="Arial" w:cs="Arial"/>
          <w:b/>
          <w:sz w:val="24"/>
          <w:szCs w:val="24"/>
        </w:rPr>
      </w:pPr>
      <w:r w:rsidRPr="0017056F">
        <w:rPr>
          <w:rFonts w:ascii="Arial" w:hAnsi="Arial" w:cs="Arial"/>
          <w:b/>
          <w:sz w:val="24"/>
          <w:szCs w:val="24"/>
        </w:rPr>
        <w:t>Agenda Item:</w:t>
      </w:r>
      <w:r w:rsidRPr="0017056F">
        <w:rPr>
          <w:rFonts w:ascii="Arial" w:hAnsi="Arial" w:cs="Arial"/>
          <w:b/>
          <w:sz w:val="24"/>
          <w:szCs w:val="24"/>
        </w:rPr>
        <w:tab/>
      </w:r>
      <w:r w:rsidRPr="0017056F">
        <w:rPr>
          <w:rFonts w:ascii="Arial" w:hAnsi="Arial" w:cs="Arial"/>
          <w:b/>
          <w:sz w:val="24"/>
          <w:szCs w:val="24"/>
        </w:rPr>
        <w:tab/>
      </w:r>
      <w:r w:rsidR="0034266B">
        <w:rPr>
          <w:rFonts w:ascii="Arial" w:hAnsi="Arial" w:cs="Arial"/>
          <w:b/>
          <w:sz w:val="24"/>
          <w:szCs w:val="24"/>
        </w:rPr>
        <w:t>6</w:t>
      </w:r>
    </w:p>
    <w:p w14:paraId="39BC7AC9" w14:textId="77777777" w:rsidR="00772C76" w:rsidRPr="0017056F" w:rsidRDefault="00772C76">
      <w:pPr>
        <w:pBdr>
          <w:bottom w:val="single" w:sz="12" w:space="1" w:color="auto"/>
        </w:pBdr>
        <w:rPr>
          <w:rFonts w:ascii="Arial" w:hAnsi="Arial" w:cs="Arial"/>
          <w:b/>
          <w:sz w:val="24"/>
          <w:szCs w:val="24"/>
          <w:u w:val="single"/>
        </w:rPr>
      </w:pPr>
    </w:p>
    <w:p w14:paraId="0EBF3356" w14:textId="77777777" w:rsidR="00772C76" w:rsidRPr="0017056F" w:rsidRDefault="00772C76">
      <w:pPr>
        <w:jc w:val="both"/>
        <w:rPr>
          <w:rFonts w:ascii="Arial" w:hAnsi="Arial" w:cs="Arial"/>
          <w:sz w:val="24"/>
          <w:szCs w:val="24"/>
        </w:rPr>
      </w:pPr>
    </w:p>
    <w:p w14:paraId="58211433" w14:textId="77777777" w:rsidR="00772C76" w:rsidRPr="0017056F" w:rsidRDefault="00772C76">
      <w:pPr>
        <w:jc w:val="both"/>
        <w:rPr>
          <w:rFonts w:ascii="Arial" w:hAnsi="Arial" w:cs="Arial"/>
          <w:sz w:val="24"/>
          <w:szCs w:val="24"/>
        </w:rPr>
      </w:pPr>
    </w:p>
    <w:p w14:paraId="0810DDF2" w14:textId="77777777" w:rsidR="00772C76" w:rsidRPr="0017056F" w:rsidRDefault="00772C76" w:rsidP="00287B6A">
      <w:pPr>
        <w:numPr>
          <w:ilvl w:val="0"/>
          <w:numId w:val="1"/>
        </w:numPr>
        <w:tabs>
          <w:tab w:val="clear" w:pos="360"/>
          <w:tab w:val="num" w:pos="709"/>
        </w:tabs>
        <w:ind w:left="567" w:hanging="567"/>
        <w:jc w:val="both"/>
        <w:rPr>
          <w:rFonts w:ascii="Arial" w:hAnsi="Arial" w:cs="Arial"/>
          <w:b/>
          <w:sz w:val="24"/>
          <w:szCs w:val="24"/>
        </w:rPr>
      </w:pPr>
      <w:r w:rsidRPr="0017056F">
        <w:rPr>
          <w:rFonts w:ascii="Arial" w:hAnsi="Arial" w:cs="Arial"/>
          <w:b/>
          <w:sz w:val="24"/>
          <w:szCs w:val="24"/>
        </w:rPr>
        <w:t>Purpose of the Report</w:t>
      </w:r>
    </w:p>
    <w:p w14:paraId="0A1F323B" w14:textId="77777777" w:rsidR="00772C76" w:rsidRPr="0017056F" w:rsidRDefault="00772C76" w:rsidP="00770DCA">
      <w:pPr>
        <w:tabs>
          <w:tab w:val="num" w:pos="709"/>
        </w:tabs>
        <w:jc w:val="both"/>
        <w:rPr>
          <w:rFonts w:ascii="Arial" w:hAnsi="Arial" w:cs="Arial"/>
          <w:b/>
          <w:sz w:val="24"/>
          <w:szCs w:val="24"/>
        </w:rPr>
      </w:pPr>
    </w:p>
    <w:p w14:paraId="69D6C671" w14:textId="77777777" w:rsidR="00772C76" w:rsidRPr="0017056F" w:rsidRDefault="00772C76" w:rsidP="00770DCA">
      <w:pPr>
        <w:ind w:left="709" w:hanging="709"/>
        <w:jc w:val="both"/>
        <w:rPr>
          <w:rFonts w:ascii="Arial" w:hAnsi="Arial" w:cs="Arial"/>
          <w:sz w:val="24"/>
          <w:szCs w:val="24"/>
        </w:rPr>
      </w:pPr>
      <w:r w:rsidRPr="0017056F">
        <w:rPr>
          <w:rFonts w:ascii="Arial" w:hAnsi="Arial" w:cs="Arial"/>
          <w:sz w:val="24"/>
          <w:szCs w:val="24"/>
        </w:rPr>
        <w:t>1.1</w:t>
      </w:r>
      <w:r w:rsidRPr="0017056F">
        <w:rPr>
          <w:rFonts w:ascii="Arial" w:hAnsi="Arial" w:cs="Arial"/>
          <w:sz w:val="24"/>
          <w:szCs w:val="24"/>
        </w:rPr>
        <w:tab/>
        <w:t xml:space="preserve">The purpose of this report is to allow the </w:t>
      </w:r>
      <w:r w:rsidR="00E83ACA" w:rsidRPr="0017056F">
        <w:rPr>
          <w:rFonts w:ascii="Arial" w:hAnsi="Arial" w:cs="Arial"/>
          <w:sz w:val="24"/>
          <w:szCs w:val="24"/>
        </w:rPr>
        <w:t>Board</w:t>
      </w:r>
      <w:r w:rsidRPr="0017056F">
        <w:rPr>
          <w:rFonts w:ascii="Arial" w:hAnsi="Arial" w:cs="Arial"/>
          <w:sz w:val="24"/>
          <w:szCs w:val="24"/>
        </w:rPr>
        <w:t xml:space="preserve"> to:</w:t>
      </w:r>
    </w:p>
    <w:p w14:paraId="6F87C20D" w14:textId="77777777" w:rsidR="00772C76" w:rsidRPr="0017056F" w:rsidRDefault="00772C76" w:rsidP="00770DCA">
      <w:pPr>
        <w:numPr>
          <w:ilvl w:val="1"/>
          <w:numId w:val="2"/>
        </w:numPr>
        <w:tabs>
          <w:tab w:val="num" w:pos="709"/>
        </w:tabs>
        <w:jc w:val="both"/>
        <w:rPr>
          <w:rFonts w:ascii="Arial" w:hAnsi="Arial" w:cs="Arial"/>
          <w:sz w:val="24"/>
          <w:szCs w:val="24"/>
        </w:rPr>
      </w:pPr>
      <w:r w:rsidRPr="0017056F">
        <w:rPr>
          <w:rFonts w:ascii="Arial" w:hAnsi="Arial" w:cs="Arial"/>
          <w:sz w:val="24"/>
          <w:szCs w:val="24"/>
        </w:rPr>
        <w:t xml:space="preserve">monitor the financial position of the Association against the approved </w:t>
      </w:r>
      <w:r w:rsidR="007D4D5A" w:rsidRPr="0017056F">
        <w:rPr>
          <w:rFonts w:ascii="Arial" w:hAnsi="Arial" w:cs="Arial"/>
          <w:sz w:val="24"/>
          <w:szCs w:val="24"/>
        </w:rPr>
        <w:t xml:space="preserve">annual </w:t>
      </w:r>
      <w:r w:rsidRPr="0017056F">
        <w:rPr>
          <w:rFonts w:ascii="Arial" w:hAnsi="Arial" w:cs="Arial"/>
          <w:sz w:val="24"/>
          <w:szCs w:val="24"/>
        </w:rPr>
        <w:t>budget;</w:t>
      </w:r>
    </w:p>
    <w:p w14:paraId="462C673B" w14:textId="77777777" w:rsidR="00772C76" w:rsidRPr="0017056F" w:rsidRDefault="00772C76" w:rsidP="00770DCA">
      <w:pPr>
        <w:numPr>
          <w:ilvl w:val="1"/>
          <w:numId w:val="2"/>
        </w:numPr>
        <w:tabs>
          <w:tab w:val="num" w:pos="709"/>
        </w:tabs>
        <w:jc w:val="both"/>
        <w:rPr>
          <w:rFonts w:ascii="Arial" w:hAnsi="Arial" w:cs="Arial"/>
          <w:sz w:val="24"/>
          <w:szCs w:val="24"/>
        </w:rPr>
      </w:pPr>
      <w:r w:rsidRPr="0017056F">
        <w:rPr>
          <w:rFonts w:ascii="Arial" w:hAnsi="Arial" w:cs="Arial"/>
          <w:sz w:val="24"/>
          <w:szCs w:val="24"/>
        </w:rPr>
        <w:t xml:space="preserve">understand any variance between actual and budgeted performance; and </w:t>
      </w:r>
    </w:p>
    <w:p w14:paraId="30811BAD" w14:textId="77777777" w:rsidR="00772C76" w:rsidRPr="0017056F" w:rsidRDefault="00772C76" w:rsidP="00770DCA">
      <w:pPr>
        <w:numPr>
          <w:ilvl w:val="1"/>
          <w:numId w:val="2"/>
        </w:numPr>
        <w:tabs>
          <w:tab w:val="num" w:pos="709"/>
        </w:tabs>
        <w:jc w:val="both"/>
        <w:rPr>
          <w:rFonts w:ascii="Arial" w:hAnsi="Arial" w:cs="Arial"/>
          <w:sz w:val="24"/>
          <w:szCs w:val="24"/>
        </w:rPr>
      </w:pPr>
      <w:r w:rsidRPr="0017056F">
        <w:rPr>
          <w:rFonts w:ascii="Arial" w:hAnsi="Arial" w:cs="Arial"/>
          <w:sz w:val="24"/>
          <w:szCs w:val="24"/>
        </w:rPr>
        <w:t>agree any corrective action required where necessary.</w:t>
      </w:r>
    </w:p>
    <w:p w14:paraId="640F7C22" w14:textId="77777777" w:rsidR="00772C76" w:rsidRPr="0017056F" w:rsidRDefault="00772C76" w:rsidP="00770DCA">
      <w:pPr>
        <w:numPr>
          <w:ilvl w:val="1"/>
          <w:numId w:val="2"/>
        </w:numPr>
        <w:tabs>
          <w:tab w:val="num" w:pos="709"/>
        </w:tabs>
        <w:jc w:val="both"/>
        <w:rPr>
          <w:rFonts w:ascii="Arial" w:hAnsi="Arial" w:cs="Arial"/>
          <w:sz w:val="24"/>
          <w:szCs w:val="24"/>
        </w:rPr>
      </w:pPr>
      <w:r w:rsidRPr="0017056F">
        <w:rPr>
          <w:rFonts w:ascii="Arial" w:hAnsi="Arial" w:cs="Arial"/>
          <w:sz w:val="24"/>
          <w:szCs w:val="24"/>
        </w:rPr>
        <w:t>to provide financial information to assist Management in decision making.</w:t>
      </w:r>
    </w:p>
    <w:p w14:paraId="411A1EB6" w14:textId="77777777" w:rsidR="00772C76" w:rsidRPr="0017056F" w:rsidRDefault="00772C76" w:rsidP="00770DCA">
      <w:pPr>
        <w:tabs>
          <w:tab w:val="num" w:pos="709"/>
        </w:tabs>
        <w:jc w:val="both"/>
        <w:rPr>
          <w:rFonts w:ascii="Arial" w:hAnsi="Arial" w:cs="Arial"/>
          <w:b/>
          <w:sz w:val="24"/>
          <w:szCs w:val="24"/>
        </w:rPr>
      </w:pPr>
    </w:p>
    <w:p w14:paraId="2218F759" w14:textId="34FFE9AF" w:rsidR="00772C76" w:rsidRPr="0017056F" w:rsidRDefault="00772C76" w:rsidP="0092066C">
      <w:pPr>
        <w:pStyle w:val="BodyTextIndent"/>
        <w:tabs>
          <w:tab w:val="num" w:pos="709"/>
        </w:tabs>
        <w:ind w:left="709" w:hanging="709"/>
        <w:rPr>
          <w:rFonts w:ascii="Arial" w:hAnsi="Arial" w:cs="Arial"/>
          <w:szCs w:val="24"/>
        </w:rPr>
      </w:pPr>
      <w:r w:rsidRPr="0017056F">
        <w:rPr>
          <w:rFonts w:ascii="Arial" w:hAnsi="Arial" w:cs="Arial"/>
          <w:szCs w:val="24"/>
        </w:rPr>
        <w:t>1.2</w:t>
      </w:r>
      <w:r w:rsidRPr="0017056F">
        <w:rPr>
          <w:rFonts w:ascii="Arial" w:hAnsi="Arial" w:cs="Arial"/>
          <w:szCs w:val="24"/>
        </w:rPr>
        <w:tab/>
        <w:t>This report provides information on the financial performance of the A</w:t>
      </w:r>
      <w:r w:rsidR="00B84CE1" w:rsidRPr="0017056F">
        <w:rPr>
          <w:rFonts w:ascii="Arial" w:hAnsi="Arial" w:cs="Arial"/>
          <w:szCs w:val="24"/>
        </w:rPr>
        <w:t>ssociation for the period from 1</w:t>
      </w:r>
      <w:r w:rsidR="00FE5230" w:rsidRPr="0017056F">
        <w:rPr>
          <w:rFonts w:ascii="Arial" w:hAnsi="Arial" w:cs="Arial"/>
          <w:szCs w:val="24"/>
        </w:rPr>
        <w:t xml:space="preserve"> April</w:t>
      </w:r>
      <w:r w:rsidR="00892C94" w:rsidRPr="0017056F">
        <w:rPr>
          <w:rFonts w:ascii="Arial" w:hAnsi="Arial" w:cs="Arial"/>
          <w:szCs w:val="24"/>
        </w:rPr>
        <w:t xml:space="preserve"> 2021</w:t>
      </w:r>
      <w:r w:rsidRPr="0017056F">
        <w:rPr>
          <w:rFonts w:ascii="Arial" w:hAnsi="Arial" w:cs="Arial"/>
          <w:szCs w:val="24"/>
        </w:rPr>
        <w:t xml:space="preserve"> </w:t>
      </w:r>
      <w:r w:rsidR="004C3EF4" w:rsidRPr="0017056F">
        <w:rPr>
          <w:rFonts w:ascii="Arial" w:hAnsi="Arial" w:cs="Arial"/>
          <w:szCs w:val="24"/>
        </w:rPr>
        <w:t xml:space="preserve">to </w:t>
      </w:r>
      <w:r w:rsidR="0034266B">
        <w:rPr>
          <w:rFonts w:ascii="Arial" w:hAnsi="Arial" w:cs="Arial"/>
          <w:szCs w:val="24"/>
        </w:rPr>
        <w:t>31 December</w:t>
      </w:r>
      <w:r w:rsidR="005B68AC" w:rsidRPr="0017056F">
        <w:rPr>
          <w:rFonts w:ascii="Arial" w:hAnsi="Arial" w:cs="Arial"/>
          <w:szCs w:val="24"/>
        </w:rPr>
        <w:t xml:space="preserve"> 2021</w:t>
      </w:r>
      <w:r w:rsidRPr="0017056F">
        <w:rPr>
          <w:rFonts w:ascii="Arial" w:hAnsi="Arial" w:cs="Arial"/>
          <w:szCs w:val="24"/>
        </w:rPr>
        <w:t>, as well as including a projected outturn</w:t>
      </w:r>
      <w:r w:rsidR="004C3EF4" w:rsidRPr="0017056F">
        <w:rPr>
          <w:rFonts w:ascii="Arial" w:hAnsi="Arial" w:cs="Arial"/>
          <w:szCs w:val="24"/>
        </w:rPr>
        <w:t xml:space="preserve"> to the year end to 31 March 202</w:t>
      </w:r>
      <w:r w:rsidR="00892C94" w:rsidRPr="0017056F">
        <w:rPr>
          <w:rFonts w:ascii="Arial" w:hAnsi="Arial" w:cs="Arial"/>
          <w:szCs w:val="24"/>
        </w:rPr>
        <w:t>2</w:t>
      </w:r>
      <w:r w:rsidRPr="0017056F">
        <w:rPr>
          <w:rFonts w:ascii="Arial" w:hAnsi="Arial" w:cs="Arial"/>
          <w:szCs w:val="24"/>
        </w:rPr>
        <w:t>.</w:t>
      </w:r>
    </w:p>
    <w:p w14:paraId="32D5D2E5" w14:textId="77777777" w:rsidR="00772C76" w:rsidRPr="0017056F" w:rsidRDefault="00772C76" w:rsidP="00770DCA">
      <w:pPr>
        <w:tabs>
          <w:tab w:val="num" w:pos="709"/>
        </w:tabs>
        <w:jc w:val="both"/>
        <w:rPr>
          <w:rFonts w:ascii="Arial" w:hAnsi="Arial" w:cs="Arial"/>
          <w:sz w:val="24"/>
          <w:szCs w:val="24"/>
        </w:rPr>
      </w:pPr>
    </w:p>
    <w:p w14:paraId="5008728F" w14:textId="77777777" w:rsidR="00772C76" w:rsidRPr="0017056F" w:rsidRDefault="00772C76" w:rsidP="000A0699">
      <w:pPr>
        <w:tabs>
          <w:tab w:val="num" w:pos="709"/>
        </w:tabs>
        <w:ind w:left="709" w:hanging="709"/>
        <w:jc w:val="both"/>
        <w:rPr>
          <w:rFonts w:ascii="Arial" w:hAnsi="Arial" w:cs="Arial"/>
          <w:sz w:val="24"/>
          <w:szCs w:val="24"/>
        </w:rPr>
      </w:pPr>
      <w:r w:rsidRPr="0017056F">
        <w:rPr>
          <w:rFonts w:ascii="Arial" w:hAnsi="Arial" w:cs="Arial"/>
          <w:sz w:val="24"/>
          <w:szCs w:val="24"/>
        </w:rPr>
        <w:t>1.3</w:t>
      </w:r>
      <w:r w:rsidRPr="0017056F">
        <w:rPr>
          <w:rFonts w:ascii="Arial" w:hAnsi="Arial" w:cs="Arial"/>
          <w:sz w:val="24"/>
          <w:szCs w:val="24"/>
        </w:rPr>
        <w:tab/>
        <w:t>The</w:t>
      </w:r>
      <w:r w:rsidR="007D4D5A" w:rsidRPr="0017056F">
        <w:rPr>
          <w:rFonts w:ascii="Arial" w:hAnsi="Arial" w:cs="Arial"/>
          <w:sz w:val="24"/>
          <w:szCs w:val="24"/>
        </w:rPr>
        <w:t xml:space="preserve"> annual</w:t>
      </w:r>
      <w:r w:rsidRPr="0017056F">
        <w:rPr>
          <w:rFonts w:ascii="Arial" w:hAnsi="Arial" w:cs="Arial"/>
          <w:sz w:val="24"/>
          <w:szCs w:val="24"/>
        </w:rPr>
        <w:t xml:space="preserve"> budget used for comparison was approved by </w:t>
      </w:r>
      <w:r w:rsidR="00E83ACA" w:rsidRPr="0017056F">
        <w:rPr>
          <w:rFonts w:ascii="Arial" w:hAnsi="Arial" w:cs="Arial"/>
          <w:sz w:val="24"/>
          <w:szCs w:val="24"/>
        </w:rPr>
        <w:t>Board</w:t>
      </w:r>
      <w:r w:rsidRPr="0017056F">
        <w:rPr>
          <w:rFonts w:ascii="Arial" w:hAnsi="Arial" w:cs="Arial"/>
          <w:sz w:val="24"/>
          <w:szCs w:val="24"/>
        </w:rPr>
        <w:t xml:space="preserve"> on </w:t>
      </w:r>
      <w:r w:rsidR="00892C94" w:rsidRPr="0017056F">
        <w:rPr>
          <w:rFonts w:ascii="Arial" w:hAnsi="Arial" w:cs="Arial"/>
          <w:sz w:val="24"/>
          <w:szCs w:val="24"/>
        </w:rPr>
        <w:t>29 March 2021.</w:t>
      </w:r>
    </w:p>
    <w:p w14:paraId="6F1FA9D8" w14:textId="77777777" w:rsidR="00892C94" w:rsidRPr="0017056F" w:rsidRDefault="00892C94" w:rsidP="000A0699">
      <w:pPr>
        <w:tabs>
          <w:tab w:val="num" w:pos="709"/>
        </w:tabs>
        <w:ind w:left="709" w:hanging="709"/>
        <w:jc w:val="both"/>
        <w:rPr>
          <w:rFonts w:ascii="Arial" w:hAnsi="Arial" w:cs="Arial"/>
          <w:sz w:val="24"/>
          <w:szCs w:val="24"/>
        </w:rPr>
      </w:pPr>
    </w:p>
    <w:p w14:paraId="2CC3B1C4" w14:textId="77777777" w:rsidR="00772C76" w:rsidRPr="0017056F" w:rsidRDefault="00772C76" w:rsidP="00770DCA">
      <w:pPr>
        <w:pStyle w:val="BodyTextIndent"/>
        <w:tabs>
          <w:tab w:val="num" w:pos="709"/>
        </w:tabs>
        <w:ind w:left="0" w:firstLine="0"/>
        <w:rPr>
          <w:rFonts w:ascii="Arial" w:hAnsi="Arial" w:cs="Arial"/>
          <w:b/>
          <w:szCs w:val="24"/>
        </w:rPr>
      </w:pPr>
    </w:p>
    <w:p w14:paraId="6A876E10" w14:textId="54CC86FA" w:rsidR="00772C76" w:rsidRPr="0017056F" w:rsidRDefault="00772C76" w:rsidP="001310DD">
      <w:pPr>
        <w:pStyle w:val="BodyTextIndent"/>
        <w:ind w:left="709" w:hanging="709"/>
        <w:rPr>
          <w:rFonts w:ascii="Arial" w:hAnsi="Arial" w:cs="Arial"/>
          <w:b/>
          <w:szCs w:val="24"/>
        </w:rPr>
      </w:pPr>
      <w:r w:rsidRPr="0017056F">
        <w:rPr>
          <w:rFonts w:ascii="Arial" w:hAnsi="Arial" w:cs="Arial"/>
          <w:b/>
          <w:szCs w:val="24"/>
        </w:rPr>
        <w:t>2.0</w:t>
      </w:r>
      <w:r w:rsidRPr="0017056F">
        <w:rPr>
          <w:rFonts w:ascii="Arial" w:hAnsi="Arial" w:cs="Arial"/>
          <w:b/>
          <w:szCs w:val="24"/>
        </w:rPr>
        <w:tab/>
        <w:t xml:space="preserve">Surplus/Deficit for the Period to </w:t>
      </w:r>
      <w:r w:rsidR="0034266B">
        <w:rPr>
          <w:rFonts w:ascii="Arial" w:hAnsi="Arial" w:cs="Arial"/>
          <w:b/>
          <w:szCs w:val="24"/>
        </w:rPr>
        <w:t>31 December</w:t>
      </w:r>
      <w:r w:rsidR="005B68AC" w:rsidRPr="0017056F">
        <w:rPr>
          <w:rFonts w:ascii="Arial" w:hAnsi="Arial" w:cs="Arial"/>
          <w:b/>
          <w:szCs w:val="24"/>
        </w:rPr>
        <w:t xml:space="preserve"> 2021</w:t>
      </w:r>
    </w:p>
    <w:p w14:paraId="68964F0D" w14:textId="77777777" w:rsidR="00772C76" w:rsidRPr="0099699C" w:rsidRDefault="00772C76" w:rsidP="00E73655">
      <w:pPr>
        <w:pStyle w:val="BodyTextIndent"/>
        <w:ind w:left="709" w:hanging="709"/>
        <w:rPr>
          <w:rFonts w:ascii="Arial" w:hAnsi="Arial" w:cs="Arial"/>
          <w:szCs w:val="24"/>
        </w:rPr>
      </w:pPr>
    </w:p>
    <w:p w14:paraId="69638D7F" w14:textId="5F1C079A" w:rsidR="00BE3C80" w:rsidRPr="0099699C" w:rsidRDefault="00772C76" w:rsidP="00746C58">
      <w:pPr>
        <w:pStyle w:val="BodyTextIndent"/>
        <w:numPr>
          <w:ilvl w:val="1"/>
          <w:numId w:val="5"/>
        </w:numPr>
        <w:tabs>
          <w:tab w:val="clear" w:pos="928"/>
        </w:tabs>
        <w:ind w:left="709" w:hanging="709"/>
        <w:rPr>
          <w:rFonts w:ascii="Arial" w:hAnsi="Arial" w:cs="Arial"/>
          <w:szCs w:val="24"/>
        </w:rPr>
      </w:pPr>
      <w:r w:rsidRPr="0099699C">
        <w:rPr>
          <w:rFonts w:ascii="Arial" w:hAnsi="Arial" w:cs="Arial"/>
          <w:szCs w:val="24"/>
        </w:rPr>
        <w:t xml:space="preserve">Prior to transfers to reserves, the actual surplus to </w:t>
      </w:r>
      <w:r w:rsidR="0034266B" w:rsidRPr="0099699C">
        <w:rPr>
          <w:rFonts w:ascii="Arial" w:hAnsi="Arial" w:cs="Arial"/>
          <w:szCs w:val="24"/>
        </w:rPr>
        <w:t>31 December</w:t>
      </w:r>
      <w:r w:rsidR="005B68AC" w:rsidRPr="0099699C">
        <w:rPr>
          <w:rFonts w:ascii="Arial" w:hAnsi="Arial" w:cs="Arial"/>
          <w:szCs w:val="24"/>
        </w:rPr>
        <w:t xml:space="preserve"> 2021 </w:t>
      </w:r>
      <w:r w:rsidRPr="0099699C">
        <w:rPr>
          <w:rFonts w:ascii="Arial" w:hAnsi="Arial" w:cs="Arial"/>
          <w:szCs w:val="24"/>
        </w:rPr>
        <w:t xml:space="preserve">was </w:t>
      </w:r>
      <w:r w:rsidR="00C32E48" w:rsidRPr="0099699C">
        <w:rPr>
          <w:rFonts w:ascii="Arial" w:hAnsi="Arial" w:cs="Arial"/>
          <w:szCs w:val="24"/>
        </w:rPr>
        <w:t>£</w:t>
      </w:r>
      <w:r w:rsidR="00B55F8C" w:rsidRPr="0099699C">
        <w:rPr>
          <w:rFonts w:ascii="Arial" w:hAnsi="Arial" w:cs="Arial"/>
          <w:szCs w:val="24"/>
        </w:rPr>
        <w:t>1,</w:t>
      </w:r>
      <w:r w:rsidR="0099699C" w:rsidRPr="0099699C">
        <w:rPr>
          <w:rFonts w:ascii="Arial" w:hAnsi="Arial" w:cs="Arial"/>
          <w:szCs w:val="24"/>
        </w:rPr>
        <w:t>185,105</w:t>
      </w:r>
      <w:r w:rsidRPr="0099699C">
        <w:rPr>
          <w:rFonts w:ascii="Arial" w:hAnsi="Arial" w:cs="Arial"/>
          <w:szCs w:val="24"/>
        </w:rPr>
        <w:t xml:space="preserve"> compared with a budgeted surplus of </w:t>
      </w:r>
      <w:r w:rsidR="00C32E48" w:rsidRPr="0099699C">
        <w:rPr>
          <w:rFonts w:ascii="Arial" w:hAnsi="Arial" w:cs="Arial"/>
          <w:szCs w:val="24"/>
        </w:rPr>
        <w:t>£</w:t>
      </w:r>
      <w:r w:rsidR="00B55F8C" w:rsidRPr="0099699C">
        <w:rPr>
          <w:rFonts w:ascii="Arial" w:hAnsi="Arial" w:cs="Arial"/>
          <w:szCs w:val="24"/>
        </w:rPr>
        <w:t>778,830</w:t>
      </w:r>
      <w:r w:rsidR="00F1482C" w:rsidRPr="0099699C">
        <w:rPr>
          <w:rFonts w:ascii="Arial" w:hAnsi="Arial" w:cs="Arial"/>
          <w:szCs w:val="24"/>
        </w:rPr>
        <w:t>.</w:t>
      </w:r>
    </w:p>
    <w:p w14:paraId="2B3830EE" w14:textId="77777777" w:rsidR="00772C76" w:rsidRPr="0099699C" w:rsidRDefault="00772C76" w:rsidP="00BE3C80">
      <w:pPr>
        <w:pStyle w:val="BodyTextIndent"/>
        <w:ind w:left="709" w:firstLine="0"/>
        <w:rPr>
          <w:rFonts w:ascii="Arial" w:hAnsi="Arial" w:cs="Arial"/>
          <w:szCs w:val="24"/>
        </w:rPr>
      </w:pPr>
      <w:r w:rsidRPr="0099699C">
        <w:rPr>
          <w:rFonts w:ascii="Arial" w:hAnsi="Arial" w:cs="Arial"/>
          <w:szCs w:val="24"/>
        </w:rPr>
        <w:t>Ap</w:t>
      </w:r>
      <w:r w:rsidR="00D06A6C" w:rsidRPr="0099699C">
        <w:rPr>
          <w:rFonts w:ascii="Arial" w:hAnsi="Arial" w:cs="Arial"/>
          <w:szCs w:val="24"/>
        </w:rPr>
        <w:t>pendix 1 columns A &amp; B, line 1</w:t>
      </w:r>
      <w:r w:rsidR="0024318C" w:rsidRPr="0099699C">
        <w:rPr>
          <w:rFonts w:ascii="Arial" w:hAnsi="Arial" w:cs="Arial"/>
          <w:szCs w:val="24"/>
        </w:rPr>
        <w:t>0</w:t>
      </w:r>
    </w:p>
    <w:p w14:paraId="25B9F49A" w14:textId="77777777" w:rsidR="00772C76" w:rsidRPr="0099699C" w:rsidRDefault="00772C76" w:rsidP="00E73655">
      <w:pPr>
        <w:pStyle w:val="BodyTextIndent"/>
        <w:ind w:left="709" w:hanging="709"/>
        <w:rPr>
          <w:rFonts w:ascii="Arial" w:hAnsi="Arial" w:cs="Arial"/>
          <w:szCs w:val="24"/>
        </w:rPr>
      </w:pPr>
    </w:p>
    <w:p w14:paraId="69E97F20" w14:textId="77777777" w:rsidR="00772C76" w:rsidRPr="0099699C" w:rsidRDefault="00772C76" w:rsidP="00287B6A">
      <w:pPr>
        <w:pStyle w:val="BodyTextIndent"/>
        <w:numPr>
          <w:ilvl w:val="1"/>
          <w:numId w:val="5"/>
        </w:numPr>
        <w:tabs>
          <w:tab w:val="clear" w:pos="928"/>
        </w:tabs>
        <w:ind w:left="709" w:hanging="709"/>
        <w:rPr>
          <w:rFonts w:ascii="Arial" w:hAnsi="Arial" w:cs="Arial"/>
          <w:szCs w:val="24"/>
        </w:rPr>
      </w:pPr>
      <w:r w:rsidRPr="0099699C">
        <w:rPr>
          <w:rFonts w:ascii="Arial" w:hAnsi="Arial" w:cs="Arial"/>
          <w:szCs w:val="24"/>
        </w:rPr>
        <w:t xml:space="preserve">An explanation for the main variances is provided below in section 4.  </w:t>
      </w:r>
    </w:p>
    <w:p w14:paraId="3DBEDDE5" w14:textId="77777777" w:rsidR="00772C76" w:rsidRPr="0099699C" w:rsidRDefault="00772C76" w:rsidP="00E73655">
      <w:pPr>
        <w:pStyle w:val="BodyTextIndent"/>
        <w:ind w:left="709" w:hanging="709"/>
        <w:rPr>
          <w:rFonts w:ascii="Arial" w:hAnsi="Arial" w:cs="Arial"/>
          <w:szCs w:val="24"/>
        </w:rPr>
      </w:pPr>
      <w:r w:rsidRPr="0099699C">
        <w:rPr>
          <w:rFonts w:ascii="Arial" w:hAnsi="Arial" w:cs="Arial"/>
          <w:szCs w:val="24"/>
        </w:rPr>
        <w:t xml:space="preserve"> </w:t>
      </w:r>
    </w:p>
    <w:p w14:paraId="5E5369EA" w14:textId="77777777" w:rsidR="00772C76" w:rsidRPr="0099699C" w:rsidRDefault="00772C76" w:rsidP="00E73655">
      <w:pPr>
        <w:pStyle w:val="BodyTextIndent"/>
        <w:ind w:left="709" w:hanging="709"/>
        <w:rPr>
          <w:rFonts w:ascii="Arial" w:hAnsi="Arial" w:cs="Arial"/>
          <w:szCs w:val="24"/>
        </w:rPr>
      </w:pPr>
    </w:p>
    <w:p w14:paraId="41131A0A" w14:textId="77777777" w:rsidR="00772C76" w:rsidRPr="0099699C" w:rsidRDefault="00772C76" w:rsidP="00184CEB">
      <w:pPr>
        <w:pStyle w:val="BodyTextIndent"/>
        <w:ind w:left="709" w:hanging="709"/>
        <w:rPr>
          <w:rFonts w:ascii="Arial" w:hAnsi="Arial" w:cs="Arial"/>
          <w:b/>
          <w:szCs w:val="24"/>
        </w:rPr>
      </w:pPr>
      <w:r w:rsidRPr="0099699C">
        <w:rPr>
          <w:rFonts w:ascii="Arial" w:hAnsi="Arial" w:cs="Arial"/>
          <w:b/>
          <w:szCs w:val="24"/>
        </w:rPr>
        <w:t>3.0</w:t>
      </w:r>
      <w:r w:rsidRPr="0099699C">
        <w:rPr>
          <w:rFonts w:ascii="Arial" w:hAnsi="Arial" w:cs="Arial"/>
          <w:b/>
          <w:szCs w:val="24"/>
        </w:rPr>
        <w:tab/>
        <w:t xml:space="preserve">Projected </w:t>
      </w:r>
      <w:r w:rsidR="004C3EF4" w:rsidRPr="0099699C">
        <w:rPr>
          <w:rFonts w:ascii="Arial" w:hAnsi="Arial" w:cs="Arial"/>
          <w:b/>
          <w:szCs w:val="24"/>
        </w:rPr>
        <w:t xml:space="preserve">Outturn for the Year </w:t>
      </w:r>
      <w:r w:rsidR="00C053FD" w:rsidRPr="0099699C">
        <w:rPr>
          <w:rFonts w:ascii="Arial" w:hAnsi="Arial" w:cs="Arial"/>
          <w:b/>
          <w:szCs w:val="24"/>
        </w:rPr>
        <w:t>to 31 March 202</w:t>
      </w:r>
      <w:r w:rsidR="00892C94" w:rsidRPr="0099699C">
        <w:rPr>
          <w:rFonts w:ascii="Arial" w:hAnsi="Arial" w:cs="Arial"/>
          <w:b/>
          <w:szCs w:val="24"/>
        </w:rPr>
        <w:t>2</w:t>
      </w:r>
    </w:p>
    <w:p w14:paraId="14DAB7EB" w14:textId="77777777" w:rsidR="00772C76" w:rsidRPr="0099699C" w:rsidRDefault="00772C76" w:rsidP="00E73655">
      <w:pPr>
        <w:pStyle w:val="BodyTextIndent"/>
        <w:ind w:left="709" w:hanging="709"/>
        <w:rPr>
          <w:rFonts w:ascii="Arial" w:hAnsi="Arial" w:cs="Arial"/>
          <w:b/>
          <w:szCs w:val="24"/>
        </w:rPr>
      </w:pPr>
    </w:p>
    <w:p w14:paraId="25CE7463" w14:textId="24B98123" w:rsidR="00BE3C80" w:rsidRPr="0099699C" w:rsidRDefault="00772C76" w:rsidP="005F0411">
      <w:pPr>
        <w:pStyle w:val="BodyTextIndent"/>
        <w:ind w:left="709" w:hanging="709"/>
        <w:rPr>
          <w:rFonts w:ascii="Arial" w:hAnsi="Arial" w:cs="Arial"/>
          <w:szCs w:val="24"/>
        </w:rPr>
      </w:pPr>
      <w:r w:rsidRPr="0099699C">
        <w:rPr>
          <w:rFonts w:ascii="Arial" w:hAnsi="Arial" w:cs="Arial"/>
          <w:szCs w:val="24"/>
        </w:rPr>
        <w:t>3.1</w:t>
      </w:r>
      <w:r w:rsidRPr="0099699C">
        <w:rPr>
          <w:rFonts w:ascii="Arial" w:hAnsi="Arial" w:cs="Arial"/>
          <w:szCs w:val="24"/>
        </w:rPr>
        <w:tab/>
        <w:t>It is projected, based on performance to date, that t</w:t>
      </w:r>
      <w:r w:rsidR="004C3EF4" w:rsidRPr="0099699C">
        <w:rPr>
          <w:rFonts w:ascii="Arial" w:hAnsi="Arial" w:cs="Arial"/>
          <w:szCs w:val="24"/>
        </w:rPr>
        <w:t xml:space="preserve">he projected surplus to </w:t>
      </w:r>
      <w:r w:rsidR="009D6BC9" w:rsidRPr="0099699C">
        <w:rPr>
          <w:rFonts w:ascii="Arial" w:hAnsi="Arial" w:cs="Arial"/>
          <w:szCs w:val="24"/>
        </w:rPr>
        <w:t>31 March 202</w:t>
      </w:r>
      <w:r w:rsidR="00892C94" w:rsidRPr="0099699C">
        <w:rPr>
          <w:rFonts w:ascii="Arial" w:hAnsi="Arial" w:cs="Arial"/>
          <w:szCs w:val="24"/>
        </w:rPr>
        <w:t>2</w:t>
      </w:r>
      <w:r w:rsidRPr="0099699C">
        <w:rPr>
          <w:rFonts w:ascii="Arial" w:hAnsi="Arial" w:cs="Arial"/>
          <w:szCs w:val="24"/>
        </w:rPr>
        <w:t xml:space="preserve">, before transfers to </w:t>
      </w:r>
      <w:r w:rsidR="00C32E48" w:rsidRPr="0099699C">
        <w:rPr>
          <w:rFonts w:ascii="Arial" w:hAnsi="Arial" w:cs="Arial"/>
          <w:szCs w:val="24"/>
        </w:rPr>
        <w:t xml:space="preserve">designated reserves, will </w:t>
      </w:r>
      <w:r w:rsidR="001D22B8" w:rsidRPr="0099699C">
        <w:rPr>
          <w:rFonts w:ascii="Arial" w:hAnsi="Arial" w:cs="Arial"/>
          <w:szCs w:val="24"/>
        </w:rPr>
        <w:t>be £</w:t>
      </w:r>
      <w:r w:rsidR="00451D8C" w:rsidRPr="0099699C">
        <w:rPr>
          <w:rFonts w:ascii="Arial" w:hAnsi="Arial" w:cs="Arial"/>
          <w:szCs w:val="24"/>
        </w:rPr>
        <w:t>1,</w:t>
      </w:r>
      <w:r w:rsidR="00780FD1">
        <w:rPr>
          <w:rFonts w:ascii="Arial" w:hAnsi="Arial" w:cs="Arial"/>
          <w:szCs w:val="24"/>
        </w:rPr>
        <w:t>337,047</w:t>
      </w:r>
      <w:r w:rsidR="00E0299F" w:rsidRPr="0099699C">
        <w:rPr>
          <w:rFonts w:ascii="Arial" w:hAnsi="Arial" w:cs="Arial"/>
          <w:szCs w:val="24"/>
        </w:rPr>
        <w:t xml:space="preserve"> </w:t>
      </w:r>
      <w:r w:rsidRPr="0099699C">
        <w:rPr>
          <w:rFonts w:ascii="Arial" w:hAnsi="Arial" w:cs="Arial"/>
          <w:szCs w:val="24"/>
        </w:rPr>
        <w:t>compared with a bu</w:t>
      </w:r>
      <w:r w:rsidR="009F54D0" w:rsidRPr="0099699C">
        <w:rPr>
          <w:rFonts w:ascii="Arial" w:hAnsi="Arial" w:cs="Arial"/>
          <w:szCs w:val="24"/>
        </w:rPr>
        <w:t>dgeted</w:t>
      </w:r>
      <w:r w:rsidR="005572A6" w:rsidRPr="0099699C">
        <w:rPr>
          <w:rFonts w:ascii="Arial" w:hAnsi="Arial" w:cs="Arial"/>
          <w:szCs w:val="24"/>
        </w:rPr>
        <w:t xml:space="preserve"> surplus for the year of £</w:t>
      </w:r>
      <w:r w:rsidR="00714E94" w:rsidRPr="0099699C">
        <w:rPr>
          <w:rFonts w:ascii="Arial" w:hAnsi="Arial" w:cs="Arial"/>
          <w:szCs w:val="24"/>
        </w:rPr>
        <w:t>1,030,735</w:t>
      </w:r>
      <w:r w:rsidR="00BE3C80" w:rsidRPr="0099699C">
        <w:rPr>
          <w:rFonts w:ascii="Arial" w:hAnsi="Arial" w:cs="Arial"/>
          <w:szCs w:val="24"/>
        </w:rPr>
        <w:t>.</w:t>
      </w:r>
    </w:p>
    <w:p w14:paraId="7C53AE69" w14:textId="77777777" w:rsidR="00772C76" w:rsidRPr="0099699C" w:rsidRDefault="00BE3C80" w:rsidP="005F0411">
      <w:pPr>
        <w:pStyle w:val="BodyTextIndent"/>
        <w:ind w:left="709" w:hanging="709"/>
        <w:rPr>
          <w:rFonts w:ascii="Arial" w:hAnsi="Arial" w:cs="Arial"/>
          <w:szCs w:val="24"/>
        </w:rPr>
      </w:pPr>
      <w:r w:rsidRPr="0099699C">
        <w:rPr>
          <w:rFonts w:ascii="Arial" w:hAnsi="Arial" w:cs="Arial"/>
          <w:szCs w:val="24"/>
        </w:rPr>
        <w:tab/>
      </w:r>
      <w:r w:rsidR="00772C76" w:rsidRPr="0099699C">
        <w:rPr>
          <w:rFonts w:ascii="Arial" w:hAnsi="Arial" w:cs="Arial"/>
          <w:szCs w:val="24"/>
        </w:rPr>
        <w:t>Ap</w:t>
      </w:r>
      <w:r w:rsidR="00D06A6C" w:rsidRPr="0099699C">
        <w:rPr>
          <w:rFonts w:ascii="Arial" w:hAnsi="Arial" w:cs="Arial"/>
          <w:szCs w:val="24"/>
        </w:rPr>
        <w:t>pendix 1, columns E &amp; F, line 1</w:t>
      </w:r>
      <w:r w:rsidR="0024318C" w:rsidRPr="0099699C">
        <w:rPr>
          <w:rFonts w:ascii="Arial" w:hAnsi="Arial" w:cs="Arial"/>
          <w:szCs w:val="24"/>
        </w:rPr>
        <w:t>0</w:t>
      </w:r>
    </w:p>
    <w:p w14:paraId="3156F80B" w14:textId="77777777" w:rsidR="00772C76" w:rsidRPr="0017056F" w:rsidRDefault="00772C76" w:rsidP="004361A0">
      <w:pPr>
        <w:pStyle w:val="BodyTextIndent"/>
        <w:ind w:left="0" w:firstLine="0"/>
        <w:rPr>
          <w:rFonts w:ascii="Arial" w:hAnsi="Arial" w:cs="Arial"/>
          <w:szCs w:val="24"/>
        </w:rPr>
      </w:pPr>
    </w:p>
    <w:p w14:paraId="7076883F" w14:textId="77777777" w:rsidR="00772C76" w:rsidRPr="0017056F" w:rsidRDefault="00772C76" w:rsidP="004361A0">
      <w:pPr>
        <w:pStyle w:val="BodyTextIndent"/>
        <w:ind w:left="0" w:firstLine="0"/>
        <w:rPr>
          <w:rFonts w:ascii="Arial" w:hAnsi="Arial" w:cs="Arial"/>
          <w:szCs w:val="24"/>
        </w:rPr>
      </w:pPr>
      <w:r w:rsidRPr="0017056F">
        <w:rPr>
          <w:rFonts w:ascii="Arial" w:hAnsi="Arial" w:cs="Arial"/>
          <w:szCs w:val="24"/>
        </w:rPr>
        <w:t>3.2</w:t>
      </w:r>
      <w:r w:rsidRPr="0017056F">
        <w:rPr>
          <w:rFonts w:ascii="Arial" w:hAnsi="Arial" w:cs="Arial"/>
          <w:szCs w:val="24"/>
        </w:rPr>
        <w:tab/>
        <w:t xml:space="preserve">An explanation for the main variances is provided below in section 4. </w:t>
      </w:r>
    </w:p>
    <w:p w14:paraId="0E55D951" w14:textId="77777777" w:rsidR="00772C76" w:rsidRPr="0017056F" w:rsidRDefault="00772C76" w:rsidP="004361A0">
      <w:pPr>
        <w:pStyle w:val="BodyTextIndent"/>
        <w:ind w:left="0" w:firstLine="0"/>
        <w:rPr>
          <w:rFonts w:ascii="Arial" w:hAnsi="Arial" w:cs="Arial"/>
          <w:szCs w:val="24"/>
        </w:rPr>
      </w:pPr>
    </w:p>
    <w:p w14:paraId="17DB3571" w14:textId="77777777" w:rsidR="00772C76" w:rsidRPr="0017056F" w:rsidRDefault="00772C76" w:rsidP="008A703C">
      <w:pPr>
        <w:pStyle w:val="BodyTextIndent"/>
        <w:ind w:left="709" w:hanging="709"/>
        <w:rPr>
          <w:rFonts w:ascii="Arial" w:hAnsi="Arial" w:cs="Arial"/>
          <w:b/>
          <w:szCs w:val="24"/>
        </w:rPr>
      </w:pPr>
      <w:r w:rsidRPr="0017056F">
        <w:rPr>
          <w:rFonts w:ascii="Arial" w:hAnsi="Arial" w:cs="Arial"/>
          <w:b/>
          <w:szCs w:val="24"/>
        </w:rPr>
        <w:lastRenderedPageBreak/>
        <w:t>4.0</w:t>
      </w:r>
      <w:r w:rsidRPr="0017056F">
        <w:rPr>
          <w:rFonts w:ascii="Arial" w:hAnsi="Arial" w:cs="Arial"/>
          <w:b/>
          <w:szCs w:val="24"/>
        </w:rPr>
        <w:tab/>
        <w:t>Significant Variances Against Budget</w:t>
      </w:r>
    </w:p>
    <w:p w14:paraId="4F9DF1FD" w14:textId="77777777" w:rsidR="00772C76" w:rsidRPr="0017056F" w:rsidRDefault="00772C76">
      <w:pPr>
        <w:pStyle w:val="BodyTextIndent"/>
        <w:rPr>
          <w:rFonts w:ascii="Arial" w:hAnsi="Arial" w:cs="Arial"/>
          <w:b/>
          <w:szCs w:val="24"/>
        </w:rPr>
      </w:pPr>
    </w:p>
    <w:p w14:paraId="79594AC0" w14:textId="77777777" w:rsidR="00772C76" w:rsidRPr="0017056F" w:rsidRDefault="00772C76" w:rsidP="00CA1129">
      <w:pPr>
        <w:pStyle w:val="BodyTextIndent"/>
        <w:numPr>
          <w:ilvl w:val="2"/>
          <w:numId w:val="8"/>
        </w:numPr>
        <w:rPr>
          <w:rFonts w:ascii="Arial" w:hAnsi="Arial" w:cs="Arial"/>
          <w:szCs w:val="24"/>
        </w:rPr>
      </w:pPr>
      <w:r w:rsidRPr="0017056F">
        <w:rPr>
          <w:rFonts w:ascii="Arial" w:hAnsi="Arial" w:cs="Arial"/>
          <w:szCs w:val="24"/>
        </w:rPr>
        <w:t xml:space="preserve">Only variances </w:t>
      </w:r>
      <w:r w:rsidR="003D4DB9" w:rsidRPr="0017056F">
        <w:rPr>
          <w:rFonts w:ascii="Arial" w:hAnsi="Arial" w:cs="Arial"/>
          <w:szCs w:val="24"/>
        </w:rPr>
        <w:t>greater than £5</w:t>
      </w:r>
      <w:r w:rsidR="005B68AC" w:rsidRPr="0017056F">
        <w:rPr>
          <w:rFonts w:ascii="Arial" w:hAnsi="Arial" w:cs="Arial"/>
          <w:szCs w:val="24"/>
        </w:rPr>
        <w:t>,</w:t>
      </w:r>
      <w:r w:rsidRPr="0017056F">
        <w:rPr>
          <w:rFonts w:ascii="Arial" w:hAnsi="Arial" w:cs="Arial"/>
          <w:szCs w:val="24"/>
        </w:rPr>
        <w:t>000 and 5% of budget have been highlighted and explained in this report, including any corrective action proposed by the relevant budget holder.</w:t>
      </w:r>
    </w:p>
    <w:p w14:paraId="7195B1C4" w14:textId="77777777" w:rsidR="009A63DD" w:rsidRPr="0017056F" w:rsidRDefault="009A63DD" w:rsidP="00344E2B">
      <w:pPr>
        <w:pStyle w:val="BodyTextIndent"/>
        <w:ind w:left="720" w:firstLine="0"/>
        <w:rPr>
          <w:rFonts w:ascii="Arial" w:hAnsi="Arial" w:cs="Arial"/>
          <w:szCs w:val="24"/>
        </w:rPr>
      </w:pPr>
    </w:p>
    <w:p w14:paraId="16D19C86" w14:textId="77777777" w:rsidR="007904CA" w:rsidRPr="0081661C" w:rsidRDefault="007904CA" w:rsidP="00A71C36">
      <w:pPr>
        <w:pStyle w:val="BodyTextIndent"/>
        <w:tabs>
          <w:tab w:val="num" w:pos="709"/>
        </w:tabs>
        <w:ind w:left="0" w:firstLine="0"/>
        <w:rPr>
          <w:rFonts w:ascii="Arial" w:hAnsi="Arial" w:cs="Arial"/>
          <w:szCs w:val="24"/>
        </w:rPr>
      </w:pPr>
    </w:p>
    <w:p w14:paraId="026E7EF3" w14:textId="77777777" w:rsidR="00C672D8" w:rsidRPr="0081661C" w:rsidRDefault="00A71C36" w:rsidP="00AB478C">
      <w:pPr>
        <w:pStyle w:val="BodyTextIndent"/>
        <w:ind w:left="709" w:hanging="709"/>
        <w:rPr>
          <w:rFonts w:ascii="Arial" w:hAnsi="Arial" w:cs="Arial"/>
          <w:szCs w:val="24"/>
        </w:rPr>
      </w:pPr>
      <w:r w:rsidRPr="0081661C">
        <w:rPr>
          <w:rFonts w:ascii="Arial" w:hAnsi="Arial" w:cs="Arial"/>
          <w:szCs w:val="24"/>
        </w:rPr>
        <w:t>4.2</w:t>
      </w:r>
      <w:r w:rsidR="00AB478C" w:rsidRPr="0081661C">
        <w:rPr>
          <w:rFonts w:ascii="Arial" w:hAnsi="Arial" w:cs="Arial"/>
          <w:szCs w:val="24"/>
        </w:rPr>
        <w:t xml:space="preserve"> </w:t>
      </w:r>
      <w:r w:rsidR="00AB478C" w:rsidRPr="0081661C">
        <w:rPr>
          <w:rFonts w:ascii="Arial" w:hAnsi="Arial" w:cs="Arial"/>
          <w:szCs w:val="24"/>
        </w:rPr>
        <w:tab/>
      </w:r>
      <w:r w:rsidR="00C672D8" w:rsidRPr="0081661C">
        <w:rPr>
          <w:rFonts w:ascii="Arial" w:hAnsi="Arial" w:cs="Arial"/>
          <w:szCs w:val="24"/>
          <w:u w:val="single"/>
        </w:rPr>
        <w:t>Interest Received and Other Income</w:t>
      </w:r>
    </w:p>
    <w:p w14:paraId="6408E194" w14:textId="6F51A728" w:rsidR="00C672D8" w:rsidRPr="0081661C" w:rsidRDefault="00C672D8" w:rsidP="00AB478C">
      <w:pPr>
        <w:pStyle w:val="BodyTextIndent"/>
        <w:ind w:left="709" w:hanging="709"/>
        <w:rPr>
          <w:rFonts w:ascii="Arial" w:hAnsi="Arial" w:cs="Arial"/>
          <w:szCs w:val="24"/>
        </w:rPr>
      </w:pPr>
      <w:r w:rsidRPr="0081661C">
        <w:rPr>
          <w:rFonts w:ascii="Arial" w:hAnsi="Arial" w:cs="Arial"/>
          <w:szCs w:val="24"/>
        </w:rPr>
        <w:tab/>
        <w:t>Interest received is lower than expected, this is due to interest rates staying low for longer than anticipated.</w:t>
      </w:r>
      <w:r w:rsidR="00077720" w:rsidRPr="0081661C">
        <w:rPr>
          <w:rFonts w:ascii="Arial" w:hAnsi="Arial" w:cs="Arial"/>
          <w:szCs w:val="24"/>
        </w:rPr>
        <w:t xml:space="preserve">  </w:t>
      </w:r>
    </w:p>
    <w:p w14:paraId="43C2D88A" w14:textId="77777777" w:rsidR="00C672D8" w:rsidRPr="00745C95" w:rsidRDefault="00C672D8" w:rsidP="00AB478C">
      <w:pPr>
        <w:pStyle w:val="BodyTextIndent"/>
        <w:ind w:left="709" w:hanging="709"/>
        <w:rPr>
          <w:rFonts w:ascii="Arial" w:hAnsi="Arial" w:cs="Arial"/>
          <w:szCs w:val="24"/>
        </w:rPr>
      </w:pPr>
    </w:p>
    <w:p w14:paraId="24F9F496" w14:textId="237F7663" w:rsidR="00C672D8" w:rsidRPr="00745C95" w:rsidRDefault="00C672D8" w:rsidP="00C672D8">
      <w:pPr>
        <w:pStyle w:val="BodyTextIndent"/>
        <w:ind w:left="720" w:firstLine="0"/>
        <w:rPr>
          <w:rFonts w:ascii="Arial" w:hAnsi="Arial" w:cs="Arial"/>
          <w:szCs w:val="24"/>
        </w:rPr>
      </w:pPr>
      <w:r w:rsidRPr="00745C95">
        <w:rPr>
          <w:rFonts w:ascii="Arial" w:hAnsi="Arial" w:cs="Arial"/>
          <w:szCs w:val="24"/>
        </w:rPr>
        <w:t>The projected outturn has been decreased to £</w:t>
      </w:r>
      <w:r w:rsidR="00077720" w:rsidRPr="00745C95">
        <w:rPr>
          <w:rFonts w:ascii="Arial" w:hAnsi="Arial" w:cs="Arial"/>
          <w:szCs w:val="24"/>
        </w:rPr>
        <w:t>2,094</w:t>
      </w:r>
      <w:r w:rsidRPr="00745C95">
        <w:rPr>
          <w:rFonts w:ascii="Arial" w:hAnsi="Arial" w:cs="Arial"/>
          <w:szCs w:val="24"/>
        </w:rPr>
        <w:t xml:space="preserve"> to reflect this. </w:t>
      </w:r>
    </w:p>
    <w:p w14:paraId="2428D8CA" w14:textId="704E6D39" w:rsidR="00C672D8" w:rsidRPr="00745C95" w:rsidRDefault="00C672D8" w:rsidP="00C672D8">
      <w:pPr>
        <w:pStyle w:val="BodyTextIndent"/>
        <w:ind w:left="720" w:firstLine="0"/>
        <w:rPr>
          <w:rFonts w:ascii="Arial" w:hAnsi="Arial" w:cs="Arial"/>
          <w:szCs w:val="24"/>
        </w:rPr>
      </w:pPr>
      <w:r w:rsidRPr="00745C95">
        <w:rPr>
          <w:rFonts w:ascii="Arial" w:hAnsi="Arial" w:cs="Arial"/>
          <w:szCs w:val="24"/>
        </w:rPr>
        <w:t xml:space="preserve">Appendix 1 Line 4. </w:t>
      </w:r>
    </w:p>
    <w:p w14:paraId="4E117CFF" w14:textId="77777777" w:rsidR="00C672D8" w:rsidRPr="0034266B" w:rsidRDefault="00C672D8" w:rsidP="00AB478C">
      <w:pPr>
        <w:pStyle w:val="BodyTextIndent"/>
        <w:ind w:left="709" w:hanging="709"/>
        <w:rPr>
          <w:rFonts w:ascii="Arial" w:hAnsi="Arial" w:cs="Arial"/>
          <w:color w:val="FF0000"/>
          <w:szCs w:val="24"/>
        </w:rPr>
      </w:pPr>
    </w:p>
    <w:p w14:paraId="0FF524A5" w14:textId="77777777" w:rsidR="00C672D8" w:rsidRPr="0034266B" w:rsidRDefault="00C672D8" w:rsidP="00AB478C">
      <w:pPr>
        <w:pStyle w:val="BodyTextIndent"/>
        <w:ind w:left="709" w:hanging="709"/>
        <w:rPr>
          <w:rFonts w:ascii="Arial" w:hAnsi="Arial" w:cs="Arial"/>
          <w:color w:val="FF0000"/>
          <w:szCs w:val="24"/>
        </w:rPr>
      </w:pPr>
    </w:p>
    <w:p w14:paraId="4A8B97E5" w14:textId="77777777" w:rsidR="00763510" w:rsidRPr="00745C95" w:rsidRDefault="00C672D8" w:rsidP="00AB478C">
      <w:pPr>
        <w:pStyle w:val="BodyTextIndent"/>
        <w:ind w:left="709" w:hanging="709"/>
        <w:rPr>
          <w:rFonts w:ascii="Arial" w:hAnsi="Arial" w:cs="Arial"/>
          <w:szCs w:val="24"/>
          <w:u w:val="single"/>
        </w:rPr>
      </w:pPr>
      <w:r w:rsidRPr="00745C95">
        <w:rPr>
          <w:rFonts w:ascii="Arial" w:hAnsi="Arial" w:cs="Arial"/>
          <w:szCs w:val="24"/>
        </w:rPr>
        <w:t xml:space="preserve">4.3 </w:t>
      </w:r>
      <w:r w:rsidRPr="00745C95">
        <w:rPr>
          <w:rFonts w:ascii="Arial" w:hAnsi="Arial" w:cs="Arial"/>
          <w:szCs w:val="24"/>
        </w:rPr>
        <w:tab/>
      </w:r>
      <w:r w:rsidR="005B75D6" w:rsidRPr="00745C95">
        <w:rPr>
          <w:rFonts w:ascii="Arial" w:hAnsi="Arial" w:cs="Arial"/>
          <w:szCs w:val="24"/>
          <w:u w:val="single"/>
        </w:rPr>
        <w:t xml:space="preserve">Commercial Rental </w:t>
      </w:r>
      <w:r w:rsidR="00763510" w:rsidRPr="00745C95">
        <w:rPr>
          <w:rFonts w:ascii="Arial" w:hAnsi="Arial" w:cs="Arial"/>
          <w:szCs w:val="24"/>
          <w:u w:val="single"/>
        </w:rPr>
        <w:t>Income</w:t>
      </w:r>
    </w:p>
    <w:p w14:paraId="684F10BE" w14:textId="77777777" w:rsidR="005117F3" w:rsidRPr="00745C95" w:rsidRDefault="00763510" w:rsidP="005B75D6">
      <w:pPr>
        <w:pStyle w:val="BodyTextIndent"/>
        <w:ind w:left="709" w:hanging="709"/>
        <w:rPr>
          <w:rFonts w:ascii="Arial" w:hAnsi="Arial" w:cs="Arial"/>
          <w:szCs w:val="24"/>
        </w:rPr>
      </w:pPr>
      <w:r w:rsidRPr="00745C95">
        <w:rPr>
          <w:rFonts w:ascii="Arial" w:hAnsi="Arial" w:cs="Arial"/>
          <w:szCs w:val="24"/>
        </w:rPr>
        <w:tab/>
      </w:r>
      <w:r w:rsidR="005B75D6" w:rsidRPr="00745C95">
        <w:rPr>
          <w:rFonts w:ascii="Arial" w:hAnsi="Arial" w:cs="Arial"/>
          <w:szCs w:val="24"/>
        </w:rPr>
        <w:t>Commercial rental income</w:t>
      </w:r>
      <w:r w:rsidR="00EB43A7" w:rsidRPr="00745C95">
        <w:rPr>
          <w:rFonts w:ascii="Arial" w:hAnsi="Arial" w:cs="Arial"/>
          <w:szCs w:val="24"/>
        </w:rPr>
        <w:t xml:space="preserve"> is</w:t>
      </w:r>
      <w:r w:rsidR="008D5C93" w:rsidRPr="00745C95">
        <w:rPr>
          <w:rFonts w:ascii="Arial" w:hAnsi="Arial" w:cs="Arial"/>
          <w:szCs w:val="24"/>
        </w:rPr>
        <w:t xml:space="preserve"> higher</w:t>
      </w:r>
      <w:r w:rsidR="00A30371" w:rsidRPr="00745C95">
        <w:rPr>
          <w:rFonts w:ascii="Arial" w:hAnsi="Arial" w:cs="Arial"/>
          <w:szCs w:val="24"/>
        </w:rPr>
        <w:t xml:space="preserve"> than expected</w:t>
      </w:r>
      <w:r w:rsidR="008D5C93" w:rsidRPr="00745C95">
        <w:rPr>
          <w:rFonts w:ascii="Arial" w:hAnsi="Arial" w:cs="Arial"/>
          <w:szCs w:val="24"/>
        </w:rPr>
        <w:t xml:space="preserve">.  </w:t>
      </w:r>
      <w:r w:rsidR="005B75D6" w:rsidRPr="00745C95">
        <w:rPr>
          <w:rFonts w:ascii="Arial" w:hAnsi="Arial" w:cs="Arial"/>
          <w:szCs w:val="24"/>
        </w:rPr>
        <w:t xml:space="preserve">We did not budget for the rental income of 64 Espedair Street due to the uncertainty of being able to </w:t>
      </w:r>
      <w:r w:rsidR="00451D8C" w:rsidRPr="00745C95">
        <w:rPr>
          <w:rFonts w:ascii="Arial" w:hAnsi="Arial" w:cs="Arial"/>
          <w:szCs w:val="24"/>
        </w:rPr>
        <w:t>let it</w:t>
      </w:r>
      <w:r w:rsidR="005B75D6" w:rsidRPr="00745C95">
        <w:rPr>
          <w:rFonts w:ascii="Arial" w:hAnsi="Arial" w:cs="Arial"/>
          <w:szCs w:val="24"/>
        </w:rPr>
        <w:t>.  64 Espedair Street was rented out from 30</w:t>
      </w:r>
      <w:r w:rsidR="005B75D6" w:rsidRPr="00745C95">
        <w:rPr>
          <w:rFonts w:ascii="Arial" w:hAnsi="Arial" w:cs="Arial"/>
          <w:szCs w:val="24"/>
          <w:vertAlign w:val="superscript"/>
        </w:rPr>
        <w:t>th</w:t>
      </w:r>
      <w:r w:rsidR="005B75D6" w:rsidRPr="00745C95">
        <w:rPr>
          <w:rFonts w:ascii="Arial" w:hAnsi="Arial" w:cs="Arial"/>
          <w:szCs w:val="24"/>
        </w:rPr>
        <w:t xml:space="preserve"> April 2021.</w:t>
      </w:r>
      <w:r w:rsidR="005117F3" w:rsidRPr="00745C95">
        <w:rPr>
          <w:rFonts w:ascii="Arial" w:hAnsi="Arial" w:cs="Arial"/>
          <w:szCs w:val="24"/>
        </w:rPr>
        <w:t xml:space="preserve">  The costs associated with the letting the property are going through overheads.</w:t>
      </w:r>
    </w:p>
    <w:p w14:paraId="3C424016" w14:textId="77777777" w:rsidR="008D5C93" w:rsidRPr="00745C95" w:rsidRDefault="008D5C93" w:rsidP="008D5C93">
      <w:pPr>
        <w:pStyle w:val="BodyTextIndent"/>
        <w:ind w:left="709" w:firstLine="0"/>
        <w:rPr>
          <w:rFonts w:ascii="Arial" w:hAnsi="Arial" w:cs="Arial"/>
          <w:szCs w:val="24"/>
        </w:rPr>
      </w:pPr>
    </w:p>
    <w:p w14:paraId="54A15785" w14:textId="3EB5F9BA" w:rsidR="000D1DCC" w:rsidRPr="00745C95" w:rsidRDefault="000D1DCC" w:rsidP="000D1DCC">
      <w:pPr>
        <w:pStyle w:val="BodyTextIndent"/>
        <w:ind w:left="720" w:firstLine="0"/>
        <w:rPr>
          <w:rFonts w:ascii="Arial" w:hAnsi="Arial" w:cs="Arial"/>
          <w:szCs w:val="24"/>
        </w:rPr>
      </w:pPr>
      <w:r w:rsidRPr="00745C95">
        <w:rPr>
          <w:rFonts w:ascii="Arial" w:hAnsi="Arial" w:cs="Arial"/>
          <w:szCs w:val="24"/>
        </w:rPr>
        <w:t xml:space="preserve">The projected outturn has been increased to </w:t>
      </w:r>
      <w:r w:rsidR="00A30371" w:rsidRPr="00745C95">
        <w:rPr>
          <w:rFonts w:ascii="Arial" w:hAnsi="Arial" w:cs="Arial"/>
          <w:szCs w:val="24"/>
        </w:rPr>
        <w:t>£</w:t>
      </w:r>
      <w:r w:rsidR="00077720" w:rsidRPr="00745C95">
        <w:rPr>
          <w:rFonts w:ascii="Arial" w:hAnsi="Arial" w:cs="Arial"/>
          <w:szCs w:val="24"/>
        </w:rPr>
        <w:t>19,928</w:t>
      </w:r>
      <w:r w:rsidR="00A30371" w:rsidRPr="00745C95">
        <w:rPr>
          <w:rFonts w:ascii="Arial" w:hAnsi="Arial" w:cs="Arial"/>
          <w:szCs w:val="24"/>
        </w:rPr>
        <w:t xml:space="preserve"> to </w:t>
      </w:r>
      <w:r w:rsidRPr="00745C95">
        <w:rPr>
          <w:rFonts w:ascii="Arial" w:hAnsi="Arial" w:cs="Arial"/>
          <w:szCs w:val="24"/>
        </w:rPr>
        <w:t xml:space="preserve">reflect this. </w:t>
      </w:r>
    </w:p>
    <w:p w14:paraId="4CA766C0" w14:textId="59D01B61" w:rsidR="000D1DCC" w:rsidRPr="00745C95" w:rsidRDefault="000D1DCC" w:rsidP="000D1DCC">
      <w:pPr>
        <w:pStyle w:val="BodyTextIndent"/>
        <w:ind w:left="720" w:firstLine="0"/>
        <w:rPr>
          <w:rFonts w:ascii="Arial" w:hAnsi="Arial" w:cs="Arial"/>
          <w:szCs w:val="24"/>
        </w:rPr>
      </w:pPr>
      <w:r w:rsidRPr="00745C95">
        <w:rPr>
          <w:rFonts w:ascii="Arial" w:hAnsi="Arial" w:cs="Arial"/>
          <w:szCs w:val="24"/>
        </w:rPr>
        <w:t xml:space="preserve">Appendix 1 Line </w:t>
      </w:r>
      <w:r w:rsidR="005B75D6" w:rsidRPr="00745C95">
        <w:rPr>
          <w:rFonts w:ascii="Arial" w:hAnsi="Arial" w:cs="Arial"/>
          <w:szCs w:val="24"/>
        </w:rPr>
        <w:t>5</w:t>
      </w:r>
      <w:r w:rsidRPr="00745C95">
        <w:rPr>
          <w:rFonts w:ascii="Arial" w:hAnsi="Arial" w:cs="Arial"/>
          <w:szCs w:val="24"/>
        </w:rPr>
        <w:t xml:space="preserve">. </w:t>
      </w:r>
    </w:p>
    <w:p w14:paraId="4D1DC0FF" w14:textId="77777777" w:rsidR="009A63DD" w:rsidRPr="0034266B" w:rsidRDefault="009A63DD" w:rsidP="000D1DCC">
      <w:pPr>
        <w:pStyle w:val="BodyTextIndent"/>
        <w:ind w:left="720" w:firstLine="0"/>
        <w:rPr>
          <w:rFonts w:ascii="Arial" w:hAnsi="Arial" w:cs="Arial"/>
          <w:color w:val="FF0000"/>
          <w:szCs w:val="24"/>
        </w:rPr>
      </w:pPr>
    </w:p>
    <w:p w14:paraId="0981CA09" w14:textId="77777777" w:rsidR="002841FF" w:rsidRPr="0034266B" w:rsidRDefault="002841FF" w:rsidP="000D1DCC">
      <w:pPr>
        <w:pStyle w:val="BodyTextIndent"/>
        <w:ind w:left="720" w:firstLine="0"/>
        <w:rPr>
          <w:rFonts w:ascii="Arial" w:hAnsi="Arial" w:cs="Arial"/>
          <w:color w:val="FF0000"/>
          <w:szCs w:val="24"/>
        </w:rPr>
      </w:pPr>
    </w:p>
    <w:p w14:paraId="5B08CFD4" w14:textId="354BD319" w:rsidR="005E3208" w:rsidRDefault="000D1DCC" w:rsidP="00AB478C">
      <w:pPr>
        <w:pStyle w:val="BodyTextIndent"/>
        <w:ind w:left="709" w:hanging="709"/>
        <w:rPr>
          <w:rFonts w:ascii="Arial" w:hAnsi="Arial" w:cs="Arial"/>
          <w:szCs w:val="24"/>
        </w:rPr>
      </w:pPr>
      <w:r w:rsidRPr="00745C95">
        <w:rPr>
          <w:rFonts w:ascii="Arial" w:hAnsi="Arial" w:cs="Arial"/>
          <w:szCs w:val="24"/>
        </w:rPr>
        <w:t>4.</w:t>
      </w:r>
      <w:r w:rsidR="00C672D8" w:rsidRPr="00745C95">
        <w:rPr>
          <w:rFonts w:ascii="Arial" w:hAnsi="Arial" w:cs="Arial"/>
          <w:szCs w:val="24"/>
        </w:rPr>
        <w:t>4</w:t>
      </w:r>
      <w:r w:rsidR="00E30BD7" w:rsidRPr="00745C95">
        <w:rPr>
          <w:rFonts w:ascii="Arial" w:hAnsi="Arial" w:cs="Arial"/>
          <w:szCs w:val="24"/>
        </w:rPr>
        <w:tab/>
      </w:r>
      <w:r w:rsidR="005E3208" w:rsidRPr="005E3208">
        <w:rPr>
          <w:rFonts w:ascii="Arial" w:hAnsi="Arial" w:cs="Arial"/>
          <w:szCs w:val="24"/>
          <w:u w:val="single"/>
        </w:rPr>
        <w:t>PSPS Profits Gifted</w:t>
      </w:r>
    </w:p>
    <w:p w14:paraId="251A494D" w14:textId="119240E6" w:rsidR="005E3208" w:rsidRDefault="005E3208" w:rsidP="00AB478C">
      <w:pPr>
        <w:pStyle w:val="BodyTextIndent"/>
        <w:ind w:left="709" w:hanging="709"/>
        <w:rPr>
          <w:rFonts w:ascii="Arial" w:hAnsi="Arial" w:cs="Arial"/>
          <w:szCs w:val="24"/>
        </w:rPr>
      </w:pPr>
      <w:r>
        <w:rPr>
          <w:rFonts w:ascii="Arial" w:hAnsi="Arial" w:cs="Arial"/>
          <w:szCs w:val="24"/>
        </w:rPr>
        <w:tab/>
        <w:t>£5</w:t>
      </w:r>
      <w:r w:rsidR="00780FD1">
        <w:rPr>
          <w:rFonts w:ascii="Arial" w:hAnsi="Arial" w:cs="Arial"/>
          <w:szCs w:val="24"/>
        </w:rPr>
        <w:t>,</w:t>
      </w:r>
      <w:r>
        <w:rPr>
          <w:rFonts w:ascii="Arial" w:hAnsi="Arial" w:cs="Arial"/>
          <w:szCs w:val="24"/>
        </w:rPr>
        <w:t>330 subsidiary profits for 20/21 were gifted to PHA in 21/22</w:t>
      </w:r>
    </w:p>
    <w:p w14:paraId="713ED5AE" w14:textId="129871C2" w:rsidR="005E3208" w:rsidRDefault="005E3208" w:rsidP="00AB478C">
      <w:pPr>
        <w:pStyle w:val="BodyTextIndent"/>
        <w:ind w:left="709" w:hanging="709"/>
        <w:rPr>
          <w:rFonts w:ascii="Arial" w:hAnsi="Arial" w:cs="Arial"/>
          <w:szCs w:val="24"/>
        </w:rPr>
      </w:pPr>
    </w:p>
    <w:p w14:paraId="61310291" w14:textId="21ECA65C" w:rsidR="005E3208" w:rsidRPr="00745C95" w:rsidRDefault="005E3208" w:rsidP="005E3208">
      <w:pPr>
        <w:pStyle w:val="BodyTextIndent"/>
        <w:ind w:left="720" w:firstLine="0"/>
        <w:rPr>
          <w:rFonts w:ascii="Arial" w:hAnsi="Arial" w:cs="Arial"/>
          <w:szCs w:val="24"/>
        </w:rPr>
      </w:pPr>
      <w:r>
        <w:rPr>
          <w:rFonts w:ascii="Arial" w:hAnsi="Arial" w:cs="Arial"/>
          <w:szCs w:val="24"/>
        </w:rPr>
        <w:t>P</w:t>
      </w:r>
      <w:r w:rsidRPr="00745C95">
        <w:rPr>
          <w:rFonts w:ascii="Arial" w:hAnsi="Arial" w:cs="Arial"/>
          <w:szCs w:val="24"/>
        </w:rPr>
        <w:t>rojected outturn has been</w:t>
      </w:r>
      <w:r>
        <w:rPr>
          <w:rFonts w:ascii="Arial" w:hAnsi="Arial" w:cs="Arial"/>
          <w:szCs w:val="24"/>
        </w:rPr>
        <w:t xml:space="preserve"> increased to reflect this.</w:t>
      </w:r>
      <w:r w:rsidRPr="00745C95">
        <w:rPr>
          <w:rFonts w:ascii="Arial" w:hAnsi="Arial" w:cs="Arial"/>
          <w:szCs w:val="24"/>
        </w:rPr>
        <w:t xml:space="preserve"> </w:t>
      </w:r>
    </w:p>
    <w:p w14:paraId="303C5569" w14:textId="6E1275FC" w:rsidR="005E3208" w:rsidRPr="00745C95" w:rsidRDefault="005E3208" w:rsidP="005E3208">
      <w:pPr>
        <w:pStyle w:val="BodyTextIndent"/>
        <w:ind w:left="720" w:firstLine="0"/>
        <w:rPr>
          <w:rFonts w:ascii="Arial" w:hAnsi="Arial" w:cs="Arial"/>
          <w:szCs w:val="24"/>
        </w:rPr>
      </w:pPr>
      <w:r w:rsidRPr="00745C95">
        <w:rPr>
          <w:rFonts w:ascii="Arial" w:hAnsi="Arial" w:cs="Arial"/>
          <w:szCs w:val="24"/>
        </w:rPr>
        <w:t>Appendix 1</w:t>
      </w:r>
      <w:r w:rsidR="00FB1ADC">
        <w:rPr>
          <w:rFonts w:ascii="Arial" w:hAnsi="Arial" w:cs="Arial"/>
          <w:szCs w:val="24"/>
        </w:rPr>
        <w:t xml:space="preserve"> </w:t>
      </w:r>
      <w:r w:rsidRPr="00745C95">
        <w:rPr>
          <w:rFonts w:ascii="Arial" w:hAnsi="Arial" w:cs="Arial"/>
          <w:szCs w:val="24"/>
        </w:rPr>
        <w:t xml:space="preserve">Line </w:t>
      </w:r>
      <w:r w:rsidR="00BC5EF4">
        <w:rPr>
          <w:rFonts w:ascii="Arial" w:hAnsi="Arial" w:cs="Arial"/>
          <w:szCs w:val="24"/>
        </w:rPr>
        <w:t>6</w:t>
      </w:r>
      <w:r w:rsidRPr="00745C95">
        <w:rPr>
          <w:rFonts w:ascii="Arial" w:hAnsi="Arial" w:cs="Arial"/>
          <w:szCs w:val="24"/>
        </w:rPr>
        <w:t xml:space="preserve">. </w:t>
      </w:r>
    </w:p>
    <w:p w14:paraId="7D50CCCE" w14:textId="15A563BB" w:rsidR="005E3208" w:rsidRDefault="005E3208" w:rsidP="00AB478C">
      <w:pPr>
        <w:pStyle w:val="BodyTextIndent"/>
        <w:ind w:left="709" w:hanging="709"/>
        <w:rPr>
          <w:rFonts w:ascii="Arial" w:hAnsi="Arial" w:cs="Arial"/>
          <w:szCs w:val="24"/>
        </w:rPr>
      </w:pPr>
    </w:p>
    <w:p w14:paraId="5330751D" w14:textId="08C243FA" w:rsidR="006E1F93" w:rsidRPr="00745C95" w:rsidRDefault="005E3208" w:rsidP="005E3208">
      <w:pPr>
        <w:pStyle w:val="BodyTextIndent"/>
        <w:rPr>
          <w:rFonts w:ascii="Arial" w:hAnsi="Arial" w:cs="Arial"/>
          <w:szCs w:val="24"/>
        </w:rPr>
      </w:pPr>
      <w:r w:rsidRPr="005E3208">
        <w:rPr>
          <w:rFonts w:ascii="Arial" w:hAnsi="Arial" w:cs="Arial"/>
          <w:szCs w:val="24"/>
        </w:rPr>
        <w:t>4.5</w:t>
      </w:r>
      <w:r w:rsidRPr="005E3208">
        <w:rPr>
          <w:rFonts w:ascii="Arial" w:hAnsi="Arial" w:cs="Arial"/>
          <w:szCs w:val="24"/>
        </w:rPr>
        <w:tab/>
      </w:r>
      <w:r>
        <w:rPr>
          <w:rFonts w:ascii="Arial" w:hAnsi="Arial" w:cs="Arial"/>
          <w:szCs w:val="24"/>
        </w:rPr>
        <w:tab/>
      </w:r>
      <w:r w:rsidR="006E1F93" w:rsidRPr="00745C95">
        <w:rPr>
          <w:rFonts w:ascii="Arial" w:hAnsi="Arial" w:cs="Arial"/>
          <w:szCs w:val="24"/>
          <w:u w:val="single"/>
        </w:rPr>
        <w:t>Interest Paid</w:t>
      </w:r>
    </w:p>
    <w:p w14:paraId="0509BC12" w14:textId="0036816A" w:rsidR="005B75D6" w:rsidRPr="00745C95" w:rsidRDefault="005F7A2B" w:rsidP="00AB478C">
      <w:pPr>
        <w:pStyle w:val="BodyTextIndent"/>
        <w:ind w:left="709" w:hanging="709"/>
        <w:rPr>
          <w:rFonts w:ascii="Arial" w:hAnsi="Arial" w:cs="Arial"/>
          <w:szCs w:val="24"/>
        </w:rPr>
      </w:pPr>
      <w:r w:rsidRPr="00745C95">
        <w:rPr>
          <w:rFonts w:ascii="Arial" w:hAnsi="Arial" w:cs="Arial"/>
          <w:szCs w:val="24"/>
        </w:rPr>
        <w:tab/>
        <w:t>Interest paid is lower than budget to date by £</w:t>
      </w:r>
      <w:r w:rsidR="00647BAF" w:rsidRPr="00745C95">
        <w:rPr>
          <w:rFonts w:ascii="Arial" w:hAnsi="Arial" w:cs="Arial"/>
          <w:szCs w:val="24"/>
        </w:rPr>
        <w:t>36,254</w:t>
      </w:r>
      <w:r w:rsidRPr="00745C95">
        <w:rPr>
          <w:rFonts w:ascii="Arial" w:hAnsi="Arial" w:cs="Arial"/>
          <w:szCs w:val="24"/>
        </w:rPr>
        <w:t xml:space="preserve">.  </w:t>
      </w:r>
    </w:p>
    <w:p w14:paraId="6180AC8B" w14:textId="77777777" w:rsidR="005B75D6" w:rsidRPr="00745C95" w:rsidRDefault="005B75D6" w:rsidP="00AB478C">
      <w:pPr>
        <w:pStyle w:val="BodyTextIndent"/>
        <w:ind w:left="709" w:hanging="709"/>
        <w:rPr>
          <w:rFonts w:ascii="Arial" w:hAnsi="Arial" w:cs="Arial"/>
          <w:szCs w:val="24"/>
        </w:rPr>
      </w:pPr>
    </w:p>
    <w:p w14:paraId="20683E91" w14:textId="77777777" w:rsidR="006E1F93" w:rsidRPr="00745C95" w:rsidRDefault="002C50E0" w:rsidP="005B75D6">
      <w:pPr>
        <w:pStyle w:val="BodyTextIndent"/>
        <w:ind w:left="709" w:firstLine="0"/>
        <w:rPr>
          <w:rFonts w:ascii="Arial" w:hAnsi="Arial" w:cs="Arial"/>
          <w:szCs w:val="24"/>
        </w:rPr>
      </w:pPr>
      <w:r w:rsidRPr="00745C95">
        <w:rPr>
          <w:rFonts w:ascii="Arial" w:hAnsi="Arial" w:cs="Arial"/>
          <w:szCs w:val="24"/>
        </w:rPr>
        <w:t xml:space="preserve">The new CAF loan was fixed at a lower rate than expected </w:t>
      </w:r>
      <w:r w:rsidR="00451D8C" w:rsidRPr="00745C95">
        <w:rPr>
          <w:rFonts w:ascii="Arial" w:hAnsi="Arial" w:cs="Arial"/>
          <w:szCs w:val="24"/>
        </w:rPr>
        <w:t>in</w:t>
      </w:r>
      <w:r w:rsidRPr="00745C95">
        <w:rPr>
          <w:rFonts w:ascii="Arial" w:hAnsi="Arial" w:cs="Arial"/>
          <w:szCs w:val="24"/>
        </w:rPr>
        <w:t xml:space="preserve"> the budget resulting in a saving of £21,000.  </w:t>
      </w:r>
      <w:r w:rsidR="005F7A2B" w:rsidRPr="00745C95">
        <w:rPr>
          <w:rFonts w:ascii="Arial" w:hAnsi="Arial" w:cs="Arial"/>
          <w:szCs w:val="24"/>
        </w:rPr>
        <w:t>Interest rates</w:t>
      </w:r>
      <w:r w:rsidR="00AA1426" w:rsidRPr="00745C95">
        <w:rPr>
          <w:rFonts w:ascii="Arial" w:hAnsi="Arial" w:cs="Arial"/>
          <w:szCs w:val="24"/>
        </w:rPr>
        <w:t xml:space="preserve"> remain low </w:t>
      </w:r>
      <w:r w:rsidRPr="00745C95">
        <w:rPr>
          <w:rFonts w:ascii="Arial" w:hAnsi="Arial" w:cs="Arial"/>
          <w:szCs w:val="24"/>
        </w:rPr>
        <w:t>with small savings being made in most loans.</w:t>
      </w:r>
    </w:p>
    <w:p w14:paraId="5A3513FF" w14:textId="77777777" w:rsidR="00AA1426" w:rsidRPr="00745C95" w:rsidRDefault="00AA1426" w:rsidP="00AB478C">
      <w:pPr>
        <w:pStyle w:val="BodyTextIndent"/>
        <w:ind w:left="709" w:hanging="709"/>
        <w:rPr>
          <w:rFonts w:ascii="Arial" w:hAnsi="Arial" w:cs="Arial"/>
          <w:szCs w:val="24"/>
        </w:rPr>
      </w:pPr>
    </w:p>
    <w:p w14:paraId="414CF6E0" w14:textId="58DA1DBC" w:rsidR="005F7A2B" w:rsidRPr="00745C95" w:rsidRDefault="005F7A2B" w:rsidP="005F7A2B">
      <w:pPr>
        <w:pStyle w:val="BodyTextIndent"/>
        <w:ind w:left="720" w:firstLine="0"/>
        <w:rPr>
          <w:rFonts w:ascii="Arial" w:hAnsi="Arial" w:cs="Arial"/>
          <w:szCs w:val="24"/>
        </w:rPr>
      </w:pPr>
      <w:r w:rsidRPr="00745C95">
        <w:rPr>
          <w:rFonts w:ascii="Arial" w:hAnsi="Arial" w:cs="Arial"/>
          <w:szCs w:val="24"/>
        </w:rPr>
        <w:t>As a result of this the projected outturn has been decreased to £</w:t>
      </w:r>
      <w:r w:rsidR="00647BAF" w:rsidRPr="00745C95">
        <w:rPr>
          <w:rFonts w:ascii="Arial" w:hAnsi="Arial" w:cs="Arial"/>
          <w:szCs w:val="24"/>
        </w:rPr>
        <w:t>138,321</w:t>
      </w:r>
      <w:r w:rsidRPr="00745C95">
        <w:rPr>
          <w:rFonts w:ascii="Arial" w:hAnsi="Arial" w:cs="Arial"/>
          <w:szCs w:val="24"/>
        </w:rPr>
        <w:t xml:space="preserve">. </w:t>
      </w:r>
    </w:p>
    <w:p w14:paraId="40A7D607" w14:textId="5ACFC276" w:rsidR="005F7A2B" w:rsidRPr="00745C95" w:rsidRDefault="005F7A2B" w:rsidP="005F7A2B">
      <w:pPr>
        <w:pStyle w:val="BodyTextIndent"/>
        <w:ind w:left="720" w:firstLine="0"/>
        <w:rPr>
          <w:rFonts w:ascii="Arial" w:hAnsi="Arial" w:cs="Arial"/>
          <w:szCs w:val="24"/>
        </w:rPr>
      </w:pPr>
      <w:r w:rsidRPr="00745C95">
        <w:rPr>
          <w:rFonts w:ascii="Arial" w:hAnsi="Arial" w:cs="Arial"/>
          <w:szCs w:val="24"/>
        </w:rPr>
        <w:t xml:space="preserve">Appendix 1 Line 7. </w:t>
      </w:r>
    </w:p>
    <w:p w14:paraId="01CA9E8B" w14:textId="77777777" w:rsidR="006E1F93" w:rsidRPr="0034266B" w:rsidRDefault="006E1F93" w:rsidP="00AB478C">
      <w:pPr>
        <w:pStyle w:val="BodyTextIndent"/>
        <w:ind w:left="709" w:hanging="709"/>
        <w:rPr>
          <w:rFonts w:ascii="Arial" w:hAnsi="Arial" w:cs="Arial"/>
          <w:color w:val="FF0000"/>
          <w:szCs w:val="24"/>
        </w:rPr>
      </w:pPr>
    </w:p>
    <w:p w14:paraId="5530DF5C" w14:textId="77777777" w:rsidR="002841FF" w:rsidRPr="0034266B" w:rsidRDefault="002841FF" w:rsidP="00AB478C">
      <w:pPr>
        <w:pStyle w:val="BodyTextIndent"/>
        <w:ind w:left="709" w:hanging="709"/>
        <w:rPr>
          <w:rFonts w:ascii="Arial" w:hAnsi="Arial" w:cs="Arial"/>
          <w:color w:val="FF0000"/>
          <w:szCs w:val="24"/>
        </w:rPr>
      </w:pPr>
    </w:p>
    <w:p w14:paraId="4EF5B459" w14:textId="3301424B" w:rsidR="00C672D8" w:rsidRPr="00745C95" w:rsidRDefault="002746D6" w:rsidP="00AB478C">
      <w:pPr>
        <w:pStyle w:val="BodyTextIndent"/>
        <w:ind w:left="709" w:hanging="709"/>
        <w:rPr>
          <w:rFonts w:ascii="Arial" w:hAnsi="Arial" w:cs="Arial"/>
          <w:szCs w:val="24"/>
        </w:rPr>
      </w:pPr>
      <w:r w:rsidRPr="00745C95">
        <w:rPr>
          <w:rFonts w:ascii="Arial" w:hAnsi="Arial" w:cs="Arial"/>
          <w:szCs w:val="24"/>
        </w:rPr>
        <w:t>4.</w:t>
      </w:r>
      <w:r w:rsidR="005E3208">
        <w:rPr>
          <w:rFonts w:ascii="Arial" w:hAnsi="Arial" w:cs="Arial"/>
          <w:szCs w:val="24"/>
        </w:rPr>
        <w:t>6</w:t>
      </w:r>
      <w:r w:rsidRPr="00745C95">
        <w:rPr>
          <w:rFonts w:ascii="Arial" w:hAnsi="Arial" w:cs="Arial"/>
          <w:szCs w:val="24"/>
        </w:rPr>
        <w:tab/>
      </w:r>
      <w:r w:rsidR="00C672D8" w:rsidRPr="00745C95">
        <w:rPr>
          <w:rFonts w:ascii="Arial" w:hAnsi="Arial" w:cs="Arial"/>
          <w:szCs w:val="24"/>
          <w:u w:val="single"/>
        </w:rPr>
        <w:t>Voids</w:t>
      </w:r>
    </w:p>
    <w:p w14:paraId="2292B577" w14:textId="1395B285" w:rsidR="00420E34" w:rsidRDefault="00420E34" w:rsidP="00420E34">
      <w:pPr>
        <w:pStyle w:val="BodyTextIndent"/>
        <w:tabs>
          <w:tab w:val="num" w:pos="709"/>
        </w:tabs>
        <w:ind w:left="709" w:firstLine="0"/>
        <w:rPr>
          <w:rFonts w:ascii="Arial" w:hAnsi="Arial" w:cs="Arial"/>
          <w:szCs w:val="24"/>
        </w:rPr>
      </w:pPr>
      <w:r w:rsidRPr="00745C95">
        <w:rPr>
          <w:rFonts w:ascii="Arial" w:hAnsi="Arial" w:cs="Arial"/>
          <w:szCs w:val="24"/>
        </w:rPr>
        <w:tab/>
        <w:t xml:space="preserve">Void </w:t>
      </w:r>
      <w:r w:rsidR="002B2A61" w:rsidRPr="00745C95">
        <w:rPr>
          <w:rFonts w:ascii="Arial" w:hAnsi="Arial" w:cs="Arial"/>
          <w:szCs w:val="24"/>
        </w:rPr>
        <w:t>loss is</w:t>
      </w:r>
      <w:r w:rsidRPr="00745C95">
        <w:rPr>
          <w:rFonts w:ascii="Arial" w:hAnsi="Arial" w:cs="Arial"/>
          <w:szCs w:val="24"/>
        </w:rPr>
        <w:t xml:space="preserve"> lower that budget </w:t>
      </w:r>
      <w:r w:rsidR="00084FDF" w:rsidRPr="00745C95">
        <w:rPr>
          <w:rFonts w:ascii="Arial" w:hAnsi="Arial" w:cs="Arial"/>
          <w:szCs w:val="24"/>
        </w:rPr>
        <w:t>by £</w:t>
      </w:r>
      <w:r w:rsidR="00647BAF" w:rsidRPr="00745C95">
        <w:rPr>
          <w:rFonts w:ascii="Arial" w:hAnsi="Arial" w:cs="Arial"/>
          <w:szCs w:val="24"/>
        </w:rPr>
        <w:t>6,031</w:t>
      </w:r>
      <w:r w:rsidR="00084FDF" w:rsidRPr="00745C95">
        <w:rPr>
          <w:rFonts w:ascii="Arial" w:hAnsi="Arial" w:cs="Arial"/>
          <w:szCs w:val="24"/>
        </w:rPr>
        <w:t xml:space="preserve">, this is </w:t>
      </w:r>
      <w:r w:rsidRPr="00745C95">
        <w:rPr>
          <w:rFonts w:ascii="Arial" w:hAnsi="Arial" w:cs="Arial"/>
          <w:szCs w:val="24"/>
        </w:rPr>
        <w:t xml:space="preserve">due to the number of voids and the average time to relet being better than expected.  The average relet time is still </w:t>
      </w:r>
      <w:r w:rsidR="007E3E72" w:rsidRPr="00745C95">
        <w:rPr>
          <w:rFonts w:ascii="Arial" w:hAnsi="Arial" w:cs="Arial"/>
          <w:szCs w:val="24"/>
        </w:rPr>
        <w:t xml:space="preserve">considerably </w:t>
      </w:r>
      <w:r w:rsidRPr="00745C95">
        <w:rPr>
          <w:rFonts w:ascii="Arial" w:hAnsi="Arial" w:cs="Arial"/>
          <w:szCs w:val="24"/>
        </w:rPr>
        <w:t xml:space="preserve">higher than pre-pandemic levels but is reducing. </w:t>
      </w:r>
      <w:r w:rsidR="00780FD1">
        <w:rPr>
          <w:rFonts w:ascii="Arial" w:hAnsi="Arial" w:cs="Arial"/>
          <w:szCs w:val="24"/>
        </w:rPr>
        <w:t xml:space="preserve">  </w:t>
      </w:r>
      <w:r w:rsidRPr="00745C95">
        <w:rPr>
          <w:rFonts w:ascii="Arial" w:hAnsi="Arial" w:cs="Arial"/>
          <w:szCs w:val="24"/>
        </w:rPr>
        <w:t xml:space="preserve">As part of the </w:t>
      </w:r>
      <w:r w:rsidR="00647BAF" w:rsidRPr="00745C95">
        <w:rPr>
          <w:rFonts w:ascii="Arial" w:hAnsi="Arial" w:cs="Arial"/>
          <w:szCs w:val="24"/>
        </w:rPr>
        <w:t>budget</w:t>
      </w:r>
      <w:r w:rsidRPr="00745C95">
        <w:rPr>
          <w:rFonts w:ascii="Arial" w:hAnsi="Arial" w:cs="Arial"/>
          <w:szCs w:val="24"/>
        </w:rPr>
        <w:t xml:space="preserve"> review, void numbers have been revised from 140 to 130, and relet times from 35 days to 32 days. </w:t>
      </w:r>
    </w:p>
    <w:p w14:paraId="70EE45CC" w14:textId="77777777" w:rsidR="00780FD1" w:rsidRPr="00745C95" w:rsidRDefault="00780FD1" w:rsidP="00420E34">
      <w:pPr>
        <w:pStyle w:val="BodyTextIndent"/>
        <w:tabs>
          <w:tab w:val="num" w:pos="709"/>
        </w:tabs>
        <w:ind w:left="709" w:firstLine="0"/>
        <w:rPr>
          <w:rFonts w:ascii="Arial" w:hAnsi="Arial" w:cs="Arial"/>
          <w:szCs w:val="24"/>
        </w:rPr>
      </w:pPr>
    </w:p>
    <w:p w14:paraId="7F657DB9" w14:textId="07ACF6C1" w:rsidR="00420E34" w:rsidRPr="00745C95" w:rsidRDefault="00420E34" w:rsidP="00420E34">
      <w:pPr>
        <w:pStyle w:val="BodyTextIndent"/>
        <w:tabs>
          <w:tab w:val="num" w:pos="720"/>
        </w:tabs>
        <w:ind w:left="720" w:firstLine="0"/>
        <w:rPr>
          <w:rFonts w:ascii="Arial" w:hAnsi="Arial" w:cs="Arial"/>
          <w:szCs w:val="24"/>
        </w:rPr>
      </w:pPr>
      <w:r w:rsidRPr="00745C95">
        <w:rPr>
          <w:rFonts w:ascii="Arial" w:hAnsi="Arial" w:cs="Arial"/>
          <w:szCs w:val="24"/>
        </w:rPr>
        <w:t>The projected outturn has been reduced to £</w:t>
      </w:r>
      <w:r w:rsidR="00647BAF" w:rsidRPr="00745C95">
        <w:rPr>
          <w:rFonts w:ascii="Arial" w:hAnsi="Arial" w:cs="Arial"/>
          <w:szCs w:val="24"/>
        </w:rPr>
        <w:t>56,966</w:t>
      </w:r>
      <w:r w:rsidRPr="00745C95">
        <w:rPr>
          <w:rFonts w:ascii="Arial" w:hAnsi="Arial" w:cs="Arial"/>
          <w:szCs w:val="24"/>
        </w:rPr>
        <w:t xml:space="preserve"> to reflect these.  Appendix 2 Line 5</w:t>
      </w:r>
    </w:p>
    <w:p w14:paraId="73950E2D" w14:textId="77777777" w:rsidR="000C3EB7" w:rsidRPr="00745C95" w:rsidRDefault="000C3EB7" w:rsidP="00AB478C">
      <w:pPr>
        <w:pStyle w:val="BodyTextIndent"/>
        <w:ind w:left="709" w:hanging="709"/>
        <w:rPr>
          <w:rFonts w:ascii="Arial" w:hAnsi="Arial" w:cs="Arial"/>
          <w:szCs w:val="24"/>
        </w:rPr>
      </w:pPr>
    </w:p>
    <w:p w14:paraId="4B7D39E2" w14:textId="3E3EFE2D" w:rsidR="00FF2081" w:rsidRPr="00745C95" w:rsidRDefault="00C672D8" w:rsidP="00AB478C">
      <w:pPr>
        <w:pStyle w:val="BodyTextIndent"/>
        <w:ind w:left="709" w:hanging="709"/>
        <w:rPr>
          <w:rFonts w:ascii="Arial" w:hAnsi="Arial" w:cs="Arial"/>
          <w:szCs w:val="24"/>
          <w:u w:val="single"/>
        </w:rPr>
      </w:pPr>
      <w:r w:rsidRPr="00745C95">
        <w:rPr>
          <w:rFonts w:ascii="Arial" w:hAnsi="Arial" w:cs="Arial"/>
          <w:szCs w:val="24"/>
        </w:rPr>
        <w:lastRenderedPageBreak/>
        <w:t>4.</w:t>
      </w:r>
      <w:r w:rsidR="005E3208">
        <w:rPr>
          <w:rFonts w:ascii="Arial" w:hAnsi="Arial" w:cs="Arial"/>
          <w:szCs w:val="24"/>
        </w:rPr>
        <w:t>7</w:t>
      </w:r>
      <w:r w:rsidRPr="00745C95">
        <w:rPr>
          <w:rFonts w:ascii="Arial" w:hAnsi="Arial" w:cs="Arial"/>
          <w:szCs w:val="24"/>
        </w:rPr>
        <w:tab/>
      </w:r>
      <w:r w:rsidR="00D83D4C" w:rsidRPr="00745C95">
        <w:rPr>
          <w:rFonts w:ascii="Arial" w:hAnsi="Arial" w:cs="Arial"/>
          <w:szCs w:val="24"/>
          <w:u w:val="single"/>
        </w:rPr>
        <w:t>R</w:t>
      </w:r>
      <w:r w:rsidR="00FF2081" w:rsidRPr="00745C95">
        <w:rPr>
          <w:rFonts w:ascii="Arial" w:hAnsi="Arial" w:cs="Arial"/>
          <w:szCs w:val="24"/>
          <w:u w:val="single"/>
        </w:rPr>
        <w:t xml:space="preserve">evenue Grants from </w:t>
      </w:r>
      <w:r w:rsidR="00F968FA" w:rsidRPr="00745C95">
        <w:rPr>
          <w:rFonts w:ascii="Arial" w:hAnsi="Arial" w:cs="Arial"/>
          <w:szCs w:val="24"/>
          <w:u w:val="single"/>
        </w:rPr>
        <w:t>Scottish</w:t>
      </w:r>
      <w:r w:rsidR="00FF2081" w:rsidRPr="00745C95">
        <w:rPr>
          <w:rFonts w:ascii="Arial" w:hAnsi="Arial" w:cs="Arial"/>
          <w:szCs w:val="24"/>
          <w:u w:val="single"/>
        </w:rPr>
        <w:t xml:space="preserve"> Ministers</w:t>
      </w:r>
    </w:p>
    <w:p w14:paraId="1E22830C" w14:textId="4277B93D" w:rsidR="00D83D4C" w:rsidRPr="00745C95" w:rsidRDefault="00647BAF" w:rsidP="00D83D4C">
      <w:pPr>
        <w:pStyle w:val="BodyTextIndent"/>
        <w:ind w:left="720" w:firstLine="0"/>
        <w:rPr>
          <w:rFonts w:ascii="Arial" w:hAnsi="Arial" w:cs="Arial"/>
          <w:szCs w:val="24"/>
        </w:rPr>
      </w:pPr>
      <w:r w:rsidRPr="00745C95">
        <w:rPr>
          <w:rFonts w:ascii="Arial" w:hAnsi="Arial" w:cs="Arial"/>
          <w:szCs w:val="24"/>
        </w:rPr>
        <w:t xml:space="preserve">We are </w:t>
      </w:r>
      <w:r w:rsidR="002B2A61" w:rsidRPr="00745C95">
        <w:rPr>
          <w:rFonts w:ascii="Arial" w:hAnsi="Arial" w:cs="Arial"/>
          <w:szCs w:val="24"/>
        </w:rPr>
        <w:t>progressing</w:t>
      </w:r>
      <w:r w:rsidRPr="00745C95">
        <w:rPr>
          <w:rFonts w:ascii="Arial" w:hAnsi="Arial" w:cs="Arial"/>
          <w:szCs w:val="24"/>
        </w:rPr>
        <w:t xml:space="preserve"> well with our Stage 3 </w:t>
      </w:r>
      <w:r w:rsidR="002B2A61" w:rsidRPr="00745C95">
        <w:rPr>
          <w:rFonts w:ascii="Arial" w:hAnsi="Arial" w:cs="Arial"/>
          <w:szCs w:val="24"/>
        </w:rPr>
        <w:t>adaptation</w:t>
      </w:r>
      <w:r w:rsidRPr="00745C95">
        <w:rPr>
          <w:rFonts w:ascii="Arial" w:hAnsi="Arial" w:cs="Arial"/>
          <w:szCs w:val="24"/>
        </w:rPr>
        <w:t xml:space="preserve"> programme.</w:t>
      </w:r>
    </w:p>
    <w:p w14:paraId="2D0A2513" w14:textId="77777777" w:rsidR="00D83D4C" w:rsidRPr="00745C95" w:rsidRDefault="00D83D4C" w:rsidP="00D83D4C">
      <w:pPr>
        <w:pStyle w:val="BodyTextIndent"/>
        <w:ind w:left="720" w:firstLine="0"/>
        <w:rPr>
          <w:rFonts w:ascii="Arial" w:hAnsi="Arial" w:cs="Arial"/>
          <w:szCs w:val="24"/>
        </w:rPr>
      </w:pPr>
    </w:p>
    <w:p w14:paraId="793D08D7" w14:textId="35F9D808" w:rsidR="00D83D4C" w:rsidRPr="00745C95" w:rsidRDefault="005117F3" w:rsidP="00D83D4C">
      <w:pPr>
        <w:pStyle w:val="BodyTextIndent"/>
        <w:ind w:left="720" w:firstLine="0"/>
        <w:rPr>
          <w:rFonts w:ascii="Arial" w:hAnsi="Arial" w:cs="Arial"/>
          <w:szCs w:val="24"/>
        </w:rPr>
      </w:pPr>
      <w:r w:rsidRPr="00745C95">
        <w:rPr>
          <w:rFonts w:ascii="Arial" w:hAnsi="Arial" w:cs="Arial"/>
          <w:szCs w:val="24"/>
        </w:rPr>
        <w:t>We were awarded £121</w:t>
      </w:r>
      <w:r w:rsidR="00D83D4C" w:rsidRPr="00745C95">
        <w:rPr>
          <w:rFonts w:ascii="Arial" w:hAnsi="Arial" w:cs="Arial"/>
          <w:szCs w:val="24"/>
        </w:rPr>
        <w:t xml:space="preserve">,000 from the </w:t>
      </w:r>
      <w:r w:rsidRPr="00745C95">
        <w:rPr>
          <w:rFonts w:ascii="Arial" w:hAnsi="Arial" w:cs="Arial"/>
          <w:szCs w:val="24"/>
        </w:rPr>
        <w:t>Scottish Government in June 2021</w:t>
      </w:r>
      <w:r w:rsidR="00D83D4C" w:rsidRPr="00745C95">
        <w:rPr>
          <w:rFonts w:ascii="Arial" w:hAnsi="Arial" w:cs="Arial"/>
          <w:szCs w:val="24"/>
        </w:rPr>
        <w:t xml:space="preserve">, this is </w:t>
      </w:r>
      <w:r w:rsidRPr="00745C95">
        <w:rPr>
          <w:rFonts w:ascii="Arial" w:hAnsi="Arial" w:cs="Arial"/>
          <w:szCs w:val="24"/>
        </w:rPr>
        <w:t xml:space="preserve">more than we expected in </w:t>
      </w:r>
      <w:r w:rsidR="00F72393" w:rsidRPr="00745C95">
        <w:rPr>
          <w:rFonts w:ascii="Arial" w:hAnsi="Arial" w:cs="Arial"/>
          <w:szCs w:val="24"/>
        </w:rPr>
        <w:t xml:space="preserve">the budget.  We applied for a higher grant this year as we anticipated adaptions being required for stock coming off site </w:t>
      </w:r>
      <w:r w:rsidR="00745C95" w:rsidRPr="00745C95">
        <w:rPr>
          <w:rFonts w:ascii="Arial" w:hAnsi="Arial" w:cs="Arial"/>
          <w:szCs w:val="24"/>
        </w:rPr>
        <w:t>this</w:t>
      </w:r>
      <w:r w:rsidR="00F72393" w:rsidRPr="00745C95">
        <w:rPr>
          <w:rFonts w:ascii="Arial" w:hAnsi="Arial" w:cs="Arial"/>
          <w:szCs w:val="24"/>
        </w:rPr>
        <w:t xml:space="preserve"> year.</w:t>
      </w:r>
      <w:r w:rsidR="00632D5C" w:rsidRPr="00745C95">
        <w:rPr>
          <w:rFonts w:ascii="Arial" w:hAnsi="Arial" w:cs="Arial"/>
          <w:szCs w:val="24"/>
        </w:rPr>
        <w:t xml:space="preserve">  </w:t>
      </w:r>
    </w:p>
    <w:p w14:paraId="35891020" w14:textId="77777777" w:rsidR="00D83D4C" w:rsidRPr="00745C95" w:rsidRDefault="00D83D4C" w:rsidP="00D83D4C">
      <w:pPr>
        <w:pStyle w:val="BodyTextIndent"/>
        <w:tabs>
          <w:tab w:val="num" w:pos="720"/>
        </w:tabs>
        <w:ind w:left="720" w:firstLine="0"/>
        <w:rPr>
          <w:rFonts w:ascii="Arial" w:hAnsi="Arial" w:cs="Arial"/>
          <w:szCs w:val="24"/>
        </w:rPr>
      </w:pPr>
      <w:r w:rsidRPr="00745C95">
        <w:rPr>
          <w:rFonts w:ascii="Arial" w:hAnsi="Arial" w:cs="Arial"/>
          <w:szCs w:val="24"/>
        </w:rPr>
        <w:t xml:space="preserve"> </w:t>
      </w:r>
    </w:p>
    <w:p w14:paraId="663C6461" w14:textId="1182EDC8" w:rsidR="00D83D4C" w:rsidRPr="00745C95" w:rsidRDefault="00D83D4C" w:rsidP="00D83D4C">
      <w:pPr>
        <w:pStyle w:val="BodyTextIndent"/>
        <w:tabs>
          <w:tab w:val="num" w:pos="720"/>
        </w:tabs>
        <w:ind w:left="720" w:firstLine="0"/>
        <w:rPr>
          <w:rFonts w:ascii="Arial" w:hAnsi="Arial" w:cs="Arial"/>
          <w:szCs w:val="24"/>
        </w:rPr>
      </w:pPr>
      <w:r w:rsidRPr="00745C95">
        <w:rPr>
          <w:rFonts w:ascii="Arial" w:hAnsi="Arial" w:cs="Arial"/>
          <w:szCs w:val="24"/>
        </w:rPr>
        <w:t xml:space="preserve">The projected outturn has been </w:t>
      </w:r>
      <w:r w:rsidR="005117F3" w:rsidRPr="00745C95">
        <w:rPr>
          <w:rFonts w:ascii="Arial" w:hAnsi="Arial" w:cs="Arial"/>
          <w:szCs w:val="24"/>
        </w:rPr>
        <w:t>increased to £121</w:t>
      </w:r>
      <w:r w:rsidRPr="00745C95">
        <w:rPr>
          <w:rFonts w:ascii="Arial" w:hAnsi="Arial" w:cs="Arial"/>
          <w:szCs w:val="24"/>
        </w:rPr>
        <w:t xml:space="preserve">,000 to reflect this. Appendix 2 Line 7. </w:t>
      </w:r>
    </w:p>
    <w:p w14:paraId="35E3C564" w14:textId="77777777" w:rsidR="00044D37" w:rsidRPr="0034266B" w:rsidRDefault="00044D37" w:rsidP="00044D37">
      <w:pPr>
        <w:pStyle w:val="BodyTextIndent"/>
        <w:ind w:left="720" w:firstLine="0"/>
        <w:rPr>
          <w:rFonts w:ascii="Arial" w:hAnsi="Arial" w:cs="Arial"/>
          <w:color w:val="FF0000"/>
          <w:szCs w:val="24"/>
        </w:rPr>
      </w:pPr>
    </w:p>
    <w:p w14:paraId="7E18533C" w14:textId="77777777" w:rsidR="00600A7A" w:rsidRPr="00E37586" w:rsidRDefault="00600A7A" w:rsidP="005117F3">
      <w:pPr>
        <w:pStyle w:val="BodyTextIndent"/>
        <w:tabs>
          <w:tab w:val="num" w:pos="720"/>
        </w:tabs>
        <w:ind w:left="0" w:firstLine="0"/>
        <w:rPr>
          <w:rFonts w:ascii="Arial" w:hAnsi="Arial" w:cs="Arial"/>
          <w:szCs w:val="24"/>
        </w:rPr>
      </w:pPr>
    </w:p>
    <w:p w14:paraId="063E10B3" w14:textId="3BE332F0" w:rsidR="00772C76" w:rsidRPr="00E37586" w:rsidRDefault="000846A0" w:rsidP="000846A0">
      <w:pPr>
        <w:pStyle w:val="BodyTextIndent"/>
        <w:ind w:left="709" w:hanging="709"/>
        <w:rPr>
          <w:rFonts w:ascii="Arial" w:hAnsi="Arial" w:cs="Arial"/>
          <w:szCs w:val="24"/>
          <w:u w:val="single"/>
        </w:rPr>
      </w:pPr>
      <w:r w:rsidRPr="00E37586">
        <w:rPr>
          <w:rFonts w:ascii="Arial" w:hAnsi="Arial" w:cs="Arial"/>
          <w:szCs w:val="24"/>
        </w:rPr>
        <w:t>4.</w:t>
      </w:r>
      <w:r w:rsidR="005E3208" w:rsidRPr="00E37586">
        <w:rPr>
          <w:rFonts w:ascii="Arial" w:hAnsi="Arial" w:cs="Arial"/>
          <w:szCs w:val="24"/>
        </w:rPr>
        <w:t>8</w:t>
      </w:r>
      <w:r w:rsidRPr="00E37586">
        <w:rPr>
          <w:rFonts w:ascii="Arial" w:hAnsi="Arial" w:cs="Arial"/>
          <w:szCs w:val="24"/>
        </w:rPr>
        <w:t xml:space="preserve"> </w:t>
      </w:r>
      <w:r w:rsidRPr="00E37586">
        <w:rPr>
          <w:rFonts w:ascii="Arial" w:hAnsi="Arial" w:cs="Arial"/>
          <w:szCs w:val="24"/>
        </w:rPr>
        <w:tab/>
      </w:r>
      <w:r w:rsidR="00772C76" w:rsidRPr="00E37586">
        <w:rPr>
          <w:rFonts w:ascii="Arial" w:hAnsi="Arial" w:cs="Arial"/>
          <w:szCs w:val="24"/>
          <w:u w:val="single"/>
        </w:rPr>
        <w:t>Overheads</w:t>
      </w:r>
    </w:p>
    <w:p w14:paraId="03830DA8" w14:textId="3A4D321B" w:rsidR="00B36F27" w:rsidRPr="003F68B6" w:rsidRDefault="009A63DD" w:rsidP="0081661C">
      <w:pPr>
        <w:pStyle w:val="BodyTextIndent"/>
        <w:tabs>
          <w:tab w:val="num" w:pos="720"/>
        </w:tabs>
        <w:ind w:left="720" w:firstLine="0"/>
        <w:rPr>
          <w:rFonts w:ascii="Arial" w:hAnsi="Arial" w:cs="Arial"/>
          <w:szCs w:val="24"/>
        </w:rPr>
      </w:pPr>
      <w:r w:rsidRPr="00E37586">
        <w:rPr>
          <w:rFonts w:ascii="Arial" w:hAnsi="Arial" w:cs="Arial"/>
          <w:szCs w:val="24"/>
        </w:rPr>
        <w:t xml:space="preserve">Overheads are under budget by </w:t>
      </w:r>
      <w:r w:rsidR="00772C76" w:rsidRPr="00E37586">
        <w:rPr>
          <w:rFonts w:ascii="Arial" w:hAnsi="Arial" w:cs="Arial"/>
          <w:szCs w:val="24"/>
        </w:rPr>
        <w:t>£</w:t>
      </w:r>
      <w:r w:rsidR="00647BAF" w:rsidRPr="00E37586">
        <w:rPr>
          <w:rFonts w:ascii="Arial" w:hAnsi="Arial" w:cs="Arial"/>
          <w:szCs w:val="24"/>
        </w:rPr>
        <w:t>49,946</w:t>
      </w:r>
      <w:r w:rsidR="00D559E4" w:rsidRPr="00E37586">
        <w:rPr>
          <w:rFonts w:ascii="Arial" w:hAnsi="Arial" w:cs="Arial"/>
          <w:szCs w:val="24"/>
        </w:rPr>
        <w:t>.</w:t>
      </w:r>
      <w:r w:rsidR="0081661C" w:rsidRPr="00E37586">
        <w:rPr>
          <w:rFonts w:ascii="Arial" w:hAnsi="Arial" w:cs="Arial"/>
          <w:szCs w:val="24"/>
        </w:rPr>
        <w:t xml:space="preserve">  </w:t>
      </w:r>
      <w:r w:rsidR="00D27C66" w:rsidRPr="00E37586">
        <w:rPr>
          <w:rFonts w:ascii="Arial" w:hAnsi="Arial" w:cs="Arial"/>
          <w:szCs w:val="24"/>
        </w:rPr>
        <w:t>This is mainly thought to be a timing issue however</w:t>
      </w:r>
      <w:r w:rsidR="00D27C66" w:rsidRPr="003F68B6">
        <w:rPr>
          <w:rFonts w:ascii="Arial" w:hAnsi="Arial" w:cs="Arial"/>
          <w:szCs w:val="24"/>
        </w:rPr>
        <w:t>, there have been some savings made and some increases to projected costs required.</w:t>
      </w:r>
    </w:p>
    <w:p w14:paraId="55AF86C6" w14:textId="77777777" w:rsidR="00D27C66" w:rsidRPr="003F68B6" w:rsidRDefault="00D27C66" w:rsidP="00261E09">
      <w:pPr>
        <w:pStyle w:val="BodyTextIndent"/>
        <w:tabs>
          <w:tab w:val="num" w:pos="720"/>
        </w:tabs>
        <w:ind w:left="720" w:firstLine="0"/>
        <w:rPr>
          <w:rFonts w:ascii="Arial" w:hAnsi="Arial" w:cs="Arial"/>
          <w:szCs w:val="24"/>
        </w:rPr>
      </w:pPr>
    </w:p>
    <w:p w14:paraId="73446066" w14:textId="66A97AC2" w:rsidR="003F68B6" w:rsidRPr="003F68B6" w:rsidRDefault="003F68B6" w:rsidP="003F68B6">
      <w:pPr>
        <w:pStyle w:val="BodyTextIndent"/>
        <w:tabs>
          <w:tab w:val="num" w:pos="720"/>
        </w:tabs>
        <w:ind w:left="720" w:firstLine="0"/>
        <w:rPr>
          <w:rFonts w:ascii="Arial" w:hAnsi="Arial" w:cs="Arial"/>
          <w:szCs w:val="24"/>
        </w:rPr>
      </w:pPr>
      <w:r w:rsidRPr="003F68B6">
        <w:rPr>
          <w:rFonts w:ascii="Arial" w:hAnsi="Arial" w:cs="Arial"/>
          <w:szCs w:val="24"/>
        </w:rPr>
        <w:t>As a result of letting out the office we incurred costs of £7,108.  This was not originally budgeted but is offset by the commercial rental income being received. (See 4.3)</w:t>
      </w:r>
    </w:p>
    <w:p w14:paraId="45897B15" w14:textId="77777777" w:rsidR="003F68B6" w:rsidRPr="00E3409A" w:rsidRDefault="003F68B6" w:rsidP="003F68B6">
      <w:pPr>
        <w:pStyle w:val="BodyTextIndent"/>
        <w:tabs>
          <w:tab w:val="num" w:pos="720"/>
        </w:tabs>
        <w:ind w:left="720" w:firstLine="0"/>
        <w:rPr>
          <w:rFonts w:ascii="Arial" w:hAnsi="Arial" w:cs="Arial"/>
          <w:color w:val="0000FF"/>
          <w:szCs w:val="24"/>
        </w:rPr>
      </w:pPr>
    </w:p>
    <w:p w14:paraId="1A5DDC1E" w14:textId="63AA43F1" w:rsidR="003F68B6" w:rsidRPr="003F68B6" w:rsidRDefault="003F68B6" w:rsidP="003F68B6">
      <w:pPr>
        <w:pStyle w:val="BodyTextIndent"/>
        <w:tabs>
          <w:tab w:val="num" w:pos="720"/>
        </w:tabs>
        <w:ind w:left="720" w:firstLine="0"/>
        <w:rPr>
          <w:rFonts w:ascii="Arial" w:hAnsi="Arial" w:cs="Arial"/>
          <w:szCs w:val="24"/>
        </w:rPr>
      </w:pPr>
      <w:r w:rsidRPr="003F68B6">
        <w:rPr>
          <w:rFonts w:ascii="Arial" w:hAnsi="Arial" w:cs="Arial"/>
          <w:szCs w:val="24"/>
        </w:rPr>
        <w:t>The projected recruitment costs have been increased to £25,000, to reflect anticipated costs to replace a Senior post</w:t>
      </w:r>
      <w:r>
        <w:rPr>
          <w:rFonts w:ascii="Arial" w:hAnsi="Arial" w:cs="Arial"/>
          <w:szCs w:val="24"/>
        </w:rPr>
        <w:t>,</w:t>
      </w:r>
      <w:r w:rsidRPr="003F68B6">
        <w:rPr>
          <w:rFonts w:ascii="Arial" w:hAnsi="Arial" w:cs="Arial"/>
          <w:szCs w:val="24"/>
        </w:rPr>
        <w:t xml:space="preserve"> due to retirement.</w:t>
      </w:r>
      <w:r w:rsidR="006700C8">
        <w:rPr>
          <w:rFonts w:ascii="Arial" w:hAnsi="Arial" w:cs="Arial"/>
          <w:szCs w:val="24"/>
        </w:rPr>
        <w:t xml:space="preserve"> However, saving in other consultancy budgets compensate slightly.</w:t>
      </w:r>
    </w:p>
    <w:p w14:paraId="0DC2ED57" w14:textId="77777777" w:rsidR="003F68B6" w:rsidRDefault="003F68B6" w:rsidP="00261E09">
      <w:pPr>
        <w:pStyle w:val="BodyTextIndent"/>
        <w:tabs>
          <w:tab w:val="num" w:pos="720"/>
        </w:tabs>
        <w:ind w:left="720" w:firstLine="0"/>
        <w:rPr>
          <w:rFonts w:ascii="Arial" w:hAnsi="Arial" w:cs="Arial"/>
          <w:color w:val="0000FF"/>
          <w:szCs w:val="24"/>
        </w:rPr>
      </w:pPr>
    </w:p>
    <w:p w14:paraId="4FA7D35C" w14:textId="41EFAA89" w:rsidR="003F68B6" w:rsidRPr="00DD6F9A" w:rsidRDefault="00DD6F9A" w:rsidP="00261E09">
      <w:pPr>
        <w:pStyle w:val="BodyTextIndent"/>
        <w:tabs>
          <w:tab w:val="num" w:pos="720"/>
        </w:tabs>
        <w:ind w:left="720" w:firstLine="0"/>
        <w:rPr>
          <w:rFonts w:ascii="Arial" w:hAnsi="Arial" w:cs="Arial"/>
          <w:color w:val="000000" w:themeColor="text1"/>
          <w:szCs w:val="24"/>
        </w:rPr>
      </w:pPr>
      <w:r w:rsidRPr="00DD6F9A">
        <w:rPr>
          <w:rFonts w:ascii="Arial" w:hAnsi="Arial" w:cs="Arial"/>
          <w:color w:val="000000" w:themeColor="text1"/>
          <w:szCs w:val="24"/>
        </w:rPr>
        <w:t>Telephones is overspent to date due to the continued need for staff mobile phones with home working. This alongside a higher cost for the leased line has resulted in the increased costs</w:t>
      </w:r>
      <w:r>
        <w:rPr>
          <w:rFonts w:ascii="Arial" w:hAnsi="Arial" w:cs="Arial"/>
          <w:color w:val="000000" w:themeColor="text1"/>
          <w:szCs w:val="24"/>
        </w:rPr>
        <w:t>.</w:t>
      </w:r>
    </w:p>
    <w:p w14:paraId="78891AD6" w14:textId="77777777" w:rsidR="00DD6F9A" w:rsidRDefault="00DD6F9A" w:rsidP="00261E09">
      <w:pPr>
        <w:pStyle w:val="BodyTextIndent"/>
        <w:tabs>
          <w:tab w:val="num" w:pos="720"/>
        </w:tabs>
        <w:ind w:left="720" w:firstLine="0"/>
        <w:rPr>
          <w:rFonts w:ascii="Arial" w:hAnsi="Arial" w:cs="Arial"/>
          <w:color w:val="0000FF"/>
          <w:szCs w:val="24"/>
        </w:rPr>
      </w:pPr>
    </w:p>
    <w:p w14:paraId="023CD6A0" w14:textId="77777777" w:rsidR="00423334" w:rsidRDefault="00423334" w:rsidP="00423334">
      <w:pPr>
        <w:pStyle w:val="BodyTextIndent"/>
        <w:tabs>
          <w:tab w:val="num" w:pos="720"/>
        </w:tabs>
        <w:ind w:left="720" w:firstLine="0"/>
        <w:rPr>
          <w:rFonts w:ascii="Arial" w:hAnsi="Arial" w:cs="Arial"/>
          <w:szCs w:val="24"/>
        </w:rPr>
      </w:pPr>
      <w:r w:rsidRPr="003F68B6">
        <w:rPr>
          <w:rFonts w:ascii="Arial" w:hAnsi="Arial" w:cs="Arial"/>
          <w:szCs w:val="24"/>
        </w:rPr>
        <w:t xml:space="preserve">Costs on Office Equipment Maintenance have gone up as, on replacement of licences, many Microsoft and hardware licences have now moved to a monthly subscription model. This means in practice costs now going through the Office Maintenance Account, as Revenue expenditure rather than through the balance sheet as capital spend. </w:t>
      </w:r>
    </w:p>
    <w:p w14:paraId="3D8254A8" w14:textId="77777777" w:rsidR="00423334" w:rsidRDefault="00423334" w:rsidP="00423334">
      <w:pPr>
        <w:pStyle w:val="BodyTextIndent"/>
        <w:tabs>
          <w:tab w:val="num" w:pos="720"/>
        </w:tabs>
        <w:ind w:left="720" w:firstLine="0"/>
        <w:rPr>
          <w:rFonts w:ascii="Arial" w:hAnsi="Arial" w:cs="Arial"/>
          <w:szCs w:val="24"/>
        </w:rPr>
      </w:pPr>
    </w:p>
    <w:p w14:paraId="28BEF298" w14:textId="21677158" w:rsidR="00423334" w:rsidRDefault="00423334" w:rsidP="00423334">
      <w:pPr>
        <w:pStyle w:val="BodyTextIndent"/>
        <w:tabs>
          <w:tab w:val="num" w:pos="720"/>
        </w:tabs>
        <w:ind w:left="720"/>
        <w:rPr>
          <w:rFonts w:ascii="Arial" w:hAnsi="Arial" w:cs="Arial"/>
          <w:szCs w:val="24"/>
        </w:rPr>
      </w:pPr>
      <w:r>
        <w:rPr>
          <w:rFonts w:ascii="Arial" w:hAnsi="Arial" w:cs="Arial"/>
          <w:szCs w:val="24"/>
        </w:rPr>
        <w:tab/>
      </w:r>
      <w:r w:rsidRPr="003F68B6">
        <w:rPr>
          <w:rFonts w:ascii="Arial" w:hAnsi="Arial" w:cs="Arial"/>
          <w:szCs w:val="24"/>
        </w:rPr>
        <w:t>To compensate</w:t>
      </w:r>
      <w:r>
        <w:rPr>
          <w:rFonts w:ascii="Arial" w:hAnsi="Arial" w:cs="Arial"/>
          <w:szCs w:val="24"/>
        </w:rPr>
        <w:t xml:space="preserve"> Projected </w:t>
      </w:r>
      <w:r w:rsidRPr="003F68B6">
        <w:rPr>
          <w:rFonts w:ascii="Arial" w:hAnsi="Arial" w:cs="Arial"/>
          <w:szCs w:val="24"/>
        </w:rPr>
        <w:t>Depreciation of Office Furniture &amp; Equipment has reduced.</w:t>
      </w:r>
    </w:p>
    <w:p w14:paraId="187411DE" w14:textId="77777777" w:rsidR="00423334" w:rsidRPr="003F68B6" w:rsidRDefault="00423334" w:rsidP="00423334">
      <w:pPr>
        <w:pStyle w:val="BodyTextIndent"/>
        <w:tabs>
          <w:tab w:val="num" w:pos="720"/>
        </w:tabs>
        <w:ind w:left="720"/>
        <w:rPr>
          <w:rFonts w:ascii="Arial" w:hAnsi="Arial" w:cs="Arial"/>
          <w:szCs w:val="24"/>
        </w:rPr>
      </w:pPr>
    </w:p>
    <w:p w14:paraId="610E0EB8" w14:textId="0FDA8F38" w:rsidR="00423334" w:rsidRPr="003F68B6" w:rsidRDefault="00423334" w:rsidP="00423334">
      <w:pPr>
        <w:pStyle w:val="BodyTextIndent"/>
        <w:tabs>
          <w:tab w:val="num" w:pos="720"/>
        </w:tabs>
        <w:ind w:left="720" w:firstLine="0"/>
        <w:rPr>
          <w:rFonts w:ascii="Arial" w:hAnsi="Arial" w:cs="Arial"/>
          <w:szCs w:val="24"/>
        </w:rPr>
      </w:pPr>
      <w:r w:rsidRPr="003F68B6">
        <w:rPr>
          <w:rFonts w:ascii="Arial" w:hAnsi="Arial" w:cs="Arial"/>
          <w:szCs w:val="24"/>
        </w:rPr>
        <w:t xml:space="preserve">Depreciation of Office Furniture &amp; Equipment spend to date is also low due to postponement of </w:t>
      </w:r>
      <w:r>
        <w:rPr>
          <w:rFonts w:ascii="Arial" w:hAnsi="Arial" w:cs="Arial"/>
          <w:szCs w:val="24"/>
        </w:rPr>
        <w:t xml:space="preserve">the </w:t>
      </w:r>
      <w:r w:rsidRPr="003F68B6">
        <w:rPr>
          <w:rFonts w:ascii="Arial" w:hAnsi="Arial" w:cs="Arial"/>
          <w:szCs w:val="24"/>
        </w:rPr>
        <w:t>new office final set up costs, as the office opening has been postponed.in the current circumstances.</w:t>
      </w:r>
    </w:p>
    <w:p w14:paraId="623F12BE" w14:textId="77777777" w:rsidR="00423334" w:rsidRDefault="00423334" w:rsidP="00261E09">
      <w:pPr>
        <w:pStyle w:val="BodyTextIndent"/>
        <w:tabs>
          <w:tab w:val="num" w:pos="720"/>
        </w:tabs>
        <w:ind w:left="720" w:firstLine="0"/>
        <w:rPr>
          <w:rFonts w:ascii="Arial" w:hAnsi="Arial" w:cs="Arial"/>
          <w:color w:val="0000FF"/>
          <w:szCs w:val="24"/>
        </w:rPr>
      </w:pPr>
    </w:p>
    <w:p w14:paraId="17B53613" w14:textId="604551A9" w:rsidR="007F4CDB" w:rsidRPr="00DD6F9A" w:rsidRDefault="00423334" w:rsidP="00423334">
      <w:pPr>
        <w:pStyle w:val="BodyTextIndent"/>
        <w:tabs>
          <w:tab w:val="num" w:pos="720"/>
        </w:tabs>
        <w:ind w:left="720" w:firstLine="0"/>
        <w:rPr>
          <w:rFonts w:ascii="Arial" w:hAnsi="Arial" w:cs="Arial"/>
          <w:szCs w:val="24"/>
        </w:rPr>
      </w:pPr>
      <w:r w:rsidRPr="00DD6F9A">
        <w:rPr>
          <w:rFonts w:ascii="Arial" w:hAnsi="Arial" w:cs="Arial"/>
          <w:szCs w:val="24"/>
        </w:rPr>
        <w:t xml:space="preserve">There are also </w:t>
      </w:r>
      <w:r w:rsidR="00D27C66" w:rsidRPr="00DD6F9A">
        <w:rPr>
          <w:rFonts w:ascii="Arial" w:hAnsi="Arial" w:cs="Arial"/>
          <w:szCs w:val="24"/>
        </w:rPr>
        <w:t xml:space="preserve">savings in </w:t>
      </w:r>
      <w:r w:rsidR="00F97A3E" w:rsidRPr="00DD6F9A">
        <w:rPr>
          <w:rFonts w:ascii="Arial" w:hAnsi="Arial" w:cs="Arial"/>
          <w:szCs w:val="24"/>
        </w:rPr>
        <w:t>cleaning</w:t>
      </w:r>
      <w:r w:rsidR="006700C8" w:rsidRPr="00DD6F9A">
        <w:rPr>
          <w:rFonts w:ascii="Arial" w:hAnsi="Arial" w:cs="Arial"/>
          <w:szCs w:val="24"/>
        </w:rPr>
        <w:t xml:space="preserve"> </w:t>
      </w:r>
      <w:r w:rsidR="0096397C" w:rsidRPr="00DD6F9A">
        <w:rPr>
          <w:rFonts w:ascii="Arial" w:hAnsi="Arial" w:cs="Arial"/>
          <w:szCs w:val="24"/>
        </w:rPr>
        <w:t xml:space="preserve">and both staff </w:t>
      </w:r>
      <w:r w:rsidR="006700C8" w:rsidRPr="00DD6F9A">
        <w:rPr>
          <w:rFonts w:ascii="Arial" w:hAnsi="Arial" w:cs="Arial"/>
          <w:szCs w:val="24"/>
        </w:rPr>
        <w:t xml:space="preserve">&amp; </w:t>
      </w:r>
      <w:r w:rsidR="0096397C" w:rsidRPr="00DD6F9A">
        <w:rPr>
          <w:rFonts w:ascii="Arial" w:hAnsi="Arial" w:cs="Arial"/>
          <w:szCs w:val="24"/>
        </w:rPr>
        <w:t xml:space="preserve">committee </w:t>
      </w:r>
      <w:r w:rsidR="002A365C" w:rsidRPr="00DD6F9A">
        <w:rPr>
          <w:rFonts w:ascii="Arial" w:hAnsi="Arial" w:cs="Arial"/>
          <w:szCs w:val="24"/>
        </w:rPr>
        <w:t>trainin</w:t>
      </w:r>
      <w:r w:rsidR="006700C8" w:rsidRPr="00DD6F9A">
        <w:rPr>
          <w:rFonts w:ascii="Arial" w:hAnsi="Arial" w:cs="Arial"/>
          <w:szCs w:val="24"/>
        </w:rPr>
        <w:t>g.</w:t>
      </w:r>
    </w:p>
    <w:p w14:paraId="604AC6E1" w14:textId="77777777" w:rsidR="00593BBF" w:rsidRPr="00DD6F9A" w:rsidRDefault="00593BBF" w:rsidP="00423334">
      <w:pPr>
        <w:pStyle w:val="BodyTextIndent"/>
        <w:tabs>
          <w:tab w:val="num" w:pos="720"/>
        </w:tabs>
        <w:ind w:left="0" w:firstLine="0"/>
        <w:rPr>
          <w:rFonts w:ascii="Arial" w:hAnsi="Arial" w:cs="Arial"/>
          <w:szCs w:val="24"/>
        </w:rPr>
      </w:pPr>
    </w:p>
    <w:p w14:paraId="5BEC518A" w14:textId="7E101331" w:rsidR="003F68B6" w:rsidRDefault="003F68B6" w:rsidP="00780FD1">
      <w:pPr>
        <w:pStyle w:val="BodyTextIndent"/>
        <w:tabs>
          <w:tab w:val="num" w:pos="720"/>
        </w:tabs>
        <w:ind w:left="720" w:firstLine="0"/>
        <w:rPr>
          <w:rFonts w:ascii="Arial" w:hAnsi="Arial" w:cs="Arial"/>
          <w:szCs w:val="24"/>
        </w:rPr>
      </w:pPr>
      <w:r w:rsidRPr="00DD6F9A">
        <w:rPr>
          <w:rFonts w:ascii="Arial" w:hAnsi="Arial" w:cs="Arial"/>
          <w:szCs w:val="24"/>
        </w:rPr>
        <w:t>The savings in cleaning are due to the dela</w:t>
      </w:r>
      <w:r w:rsidR="006700C8" w:rsidRPr="00DD6F9A">
        <w:rPr>
          <w:rFonts w:ascii="Arial" w:hAnsi="Arial" w:cs="Arial"/>
          <w:szCs w:val="24"/>
        </w:rPr>
        <w:t xml:space="preserve">y </w:t>
      </w:r>
      <w:r w:rsidRPr="00DD6F9A">
        <w:rPr>
          <w:rFonts w:ascii="Arial" w:hAnsi="Arial" w:cs="Arial"/>
          <w:szCs w:val="24"/>
        </w:rPr>
        <w:t>in the return to office working</w:t>
      </w:r>
      <w:r w:rsidR="006700C8" w:rsidRPr="00DD6F9A">
        <w:rPr>
          <w:rFonts w:ascii="Arial" w:hAnsi="Arial" w:cs="Arial"/>
          <w:szCs w:val="24"/>
        </w:rPr>
        <w:t xml:space="preserve"> and so delay in full cleaning services until much later in the year.</w:t>
      </w:r>
      <w:r w:rsidR="00780FD1">
        <w:rPr>
          <w:rFonts w:ascii="Arial" w:hAnsi="Arial" w:cs="Arial"/>
          <w:szCs w:val="24"/>
        </w:rPr>
        <w:t xml:space="preserve">  </w:t>
      </w:r>
      <w:r w:rsidRPr="00DD6F9A">
        <w:rPr>
          <w:rFonts w:ascii="Arial" w:hAnsi="Arial" w:cs="Arial"/>
          <w:szCs w:val="24"/>
        </w:rPr>
        <w:t xml:space="preserve">Training </w:t>
      </w:r>
      <w:r w:rsidR="00DD6F9A" w:rsidRPr="00DD6F9A">
        <w:rPr>
          <w:rFonts w:ascii="Arial" w:hAnsi="Arial" w:cs="Arial"/>
          <w:szCs w:val="24"/>
        </w:rPr>
        <w:t xml:space="preserve">costs </w:t>
      </w:r>
      <w:r w:rsidRPr="00DD6F9A">
        <w:rPr>
          <w:rFonts w:ascii="Arial" w:hAnsi="Arial" w:cs="Arial"/>
          <w:szCs w:val="24"/>
        </w:rPr>
        <w:t>for both staff and committee are less than anticipated due to the continuing pandemic</w:t>
      </w:r>
      <w:r w:rsidR="00DD6F9A" w:rsidRPr="00DD6F9A">
        <w:rPr>
          <w:rFonts w:ascii="Arial" w:hAnsi="Arial" w:cs="Arial"/>
          <w:szCs w:val="24"/>
        </w:rPr>
        <w:t xml:space="preserve">, </w:t>
      </w:r>
      <w:r w:rsidRPr="00DD6F9A">
        <w:rPr>
          <w:rFonts w:ascii="Arial" w:hAnsi="Arial" w:cs="Arial"/>
          <w:szCs w:val="24"/>
        </w:rPr>
        <w:t>with external conferences and training not being organised as normal.</w:t>
      </w:r>
    </w:p>
    <w:p w14:paraId="49BD2C92" w14:textId="77777777" w:rsidR="00780FD1" w:rsidRPr="00DD6F9A" w:rsidRDefault="00780FD1" w:rsidP="00780FD1">
      <w:pPr>
        <w:pStyle w:val="BodyTextIndent"/>
        <w:tabs>
          <w:tab w:val="num" w:pos="720"/>
        </w:tabs>
        <w:ind w:left="720" w:firstLine="0"/>
        <w:rPr>
          <w:rFonts w:ascii="Arial" w:hAnsi="Arial" w:cs="Arial"/>
          <w:szCs w:val="24"/>
        </w:rPr>
      </w:pPr>
    </w:p>
    <w:p w14:paraId="21FC46DA" w14:textId="3567D9FC" w:rsidR="003C489C" w:rsidRPr="00140E8E" w:rsidRDefault="00B93238" w:rsidP="003E5687">
      <w:pPr>
        <w:pStyle w:val="BodyTextIndent"/>
        <w:ind w:left="720" w:firstLine="0"/>
        <w:rPr>
          <w:rFonts w:ascii="Arial" w:hAnsi="Arial" w:cs="Arial"/>
          <w:color w:val="000000" w:themeColor="text1"/>
          <w:szCs w:val="24"/>
        </w:rPr>
      </w:pPr>
      <w:bookmarkStart w:id="0" w:name="OLE_LINK1"/>
      <w:bookmarkStart w:id="1" w:name="OLE_LINK2"/>
      <w:r w:rsidRPr="00140E8E">
        <w:rPr>
          <w:rFonts w:ascii="Arial" w:hAnsi="Arial" w:cs="Arial"/>
          <w:color w:val="000000" w:themeColor="text1"/>
          <w:szCs w:val="24"/>
        </w:rPr>
        <w:t>The projected outturn has</w:t>
      </w:r>
      <w:r w:rsidR="003636B1" w:rsidRPr="00140E8E">
        <w:rPr>
          <w:rFonts w:ascii="Arial" w:hAnsi="Arial" w:cs="Arial"/>
          <w:color w:val="000000" w:themeColor="text1"/>
          <w:szCs w:val="24"/>
        </w:rPr>
        <w:t xml:space="preserve"> </w:t>
      </w:r>
      <w:r w:rsidR="00E3409A" w:rsidRPr="00140E8E">
        <w:rPr>
          <w:rFonts w:ascii="Arial" w:hAnsi="Arial" w:cs="Arial"/>
          <w:color w:val="000000" w:themeColor="text1"/>
          <w:szCs w:val="24"/>
        </w:rPr>
        <w:t>increased</w:t>
      </w:r>
      <w:r w:rsidR="00344E2B" w:rsidRPr="00140E8E">
        <w:rPr>
          <w:rFonts w:ascii="Arial" w:hAnsi="Arial" w:cs="Arial"/>
          <w:color w:val="000000" w:themeColor="text1"/>
          <w:szCs w:val="24"/>
        </w:rPr>
        <w:t xml:space="preserve"> </w:t>
      </w:r>
      <w:r w:rsidR="00140E8E" w:rsidRPr="00140E8E">
        <w:rPr>
          <w:rFonts w:ascii="Arial" w:hAnsi="Arial" w:cs="Arial"/>
          <w:color w:val="000000" w:themeColor="text1"/>
          <w:szCs w:val="24"/>
        </w:rPr>
        <w:t>by £7,</w:t>
      </w:r>
      <w:r w:rsidR="0034648B">
        <w:rPr>
          <w:rFonts w:ascii="Arial" w:hAnsi="Arial" w:cs="Arial"/>
          <w:color w:val="000000" w:themeColor="text1"/>
          <w:szCs w:val="24"/>
        </w:rPr>
        <w:t>709</w:t>
      </w:r>
      <w:r w:rsidR="00140E8E" w:rsidRPr="00140E8E">
        <w:rPr>
          <w:rFonts w:ascii="Arial" w:hAnsi="Arial" w:cs="Arial"/>
          <w:color w:val="000000" w:themeColor="text1"/>
          <w:szCs w:val="24"/>
        </w:rPr>
        <w:t xml:space="preserve"> </w:t>
      </w:r>
      <w:r w:rsidR="00344E2B" w:rsidRPr="00140E8E">
        <w:rPr>
          <w:rFonts w:ascii="Arial" w:hAnsi="Arial" w:cs="Arial"/>
          <w:color w:val="000000" w:themeColor="text1"/>
          <w:szCs w:val="24"/>
        </w:rPr>
        <w:t>to £</w:t>
      </w:r>
      <w:r w:rsidR="002A365C" w:rsidRPr="00140E8E">
        <w:rPr>
          <w:rFonts w:ascii="Arial" w:hAnsi="Arial" w:cs="Arial"/>
          <w:color w:val="000000" w:themeColor="text1"/>
          <w:szCs w:val="24"/>
        </w:rPr>
        <w:t>429,641</w:t>
      </w:r>
      <w:r w:rsidR="00F4126C" w:rsidRPr="00140E8E">
        <w:rPr>
          <w:rFonts w:ascii="Arial" w:hAnsi="Arial" w:cs="Arial"/>
          <w:color w:val="000000" w:themeColor="text1"/>
          <w:szCs w:val="24"/>
        </w:rPr>
        <w:t xml:space="preserve"> to reflect these changes</w:t>
      </w:r>
      <w:r w:rsidR="00451D8C" w:rsidRPr="00140E8E">
        <w:rPr>
          <w:rFonts w:ascii="Arial" w:hAnsi="Arial" w:cs="Arial"/>
          <w:color w:val="000000" w:themeColor="text1"/>
          <w:szCs w:val="24"/>
        </w:rPr>
        <w:t>.</w:t>
      </w:r>
      <w:r w:rsidR="0052269D" w:rsidRPr="00140E8E">
        <w:rPr>
          <w:rFonts w:ascii="Arial" w:hAnsi="Arial" w:cs="Arial"/>
          <w:color w:val="000000" w:themeColor="text1"/>
          <w:szCs w:val="24"/>
        </w:rPr>
        <w:t xml:space="preserve"> </w:t>
      </w:r>
      <w:r w:rsidR="00772C76" w:rsidRPr="00140E8E">
        <w:rPr>
          <w:rFonts w:ascii="Arial" w:hAnsi="Arial" w:cs="Arial"/>
          <w:color w:val="000000" w:themeColor="text1"/>
          <w:szCs w:val="24"/>
        </w:rPr>
        <w:t xml:space="preserve">Appendix 2 Line </w:t>
      </w:r>
      <w:bookmarkEnd w:id="0"/>
      <w:bookmarkEnd w:id="1"/>
      <w:r w:rsidR="00772C76" w:rsidRPr="00140E8E">
        <w:rPr>
          <w:rFonts w:ascii="Arial" w:hAnsi="Arial" w:cs="Arial"/>
          <w:color w:val="000000" w:themeColor="text1"/>
          <w:szCs w:val="24"/>
        </w:rPr>
        <w:t>9</w:t>
      </w:r>
    </w:p>
    <w:p w14:paraId="6B0A5ED3" w14:textId="4AFC4321" w:rsidR="009A63DD" w:rsidRPr="00660087" w:rsidRDefault="009A63DD" w:rsidP="002841FF">
      <w:pPr>
        <w:pStyle w:val="BodyTextIndent"/>
        <w:rPr>
          <w:rFonts w:ascii="Arial" w:hAnsi="Arial" w:cs="Arial"/>
          <w:szCs w:val="24"/>
        </w:rPr>
      </w:pPr>
      <w:r w:rsidRPr="00660087">
        <w:rPr>
          <w:rFonts w:ascii="Arial" w:hAnsi="Arial" w:cs="Arial"/>
          <w:szCs w:val="24"/>
        </w:rPr>
        <w:lastRenderedPageBreak/>
        <w:t>4.</w:t>
      </w:r>
      <w:r w:rsidR="005E3208">
        <w:rPr>
          <w:rFonts w:ascii="Arial" w:hAnsi="Arial" w:cs="Arial"/>
          <w:szCs w:val="24"/>
        </w:rPr>
        <w:t>9</w:t>
      </w:r>
      <w:r w:rsidRPr="00660087">
        <w:rPr>
          <w:rFonts w:ascii="Arial" w:hAnsi="Arial" w:cs="Arial"/>
          <w:szCs w:val="24"/>
        </w:rPr>
        <w:tab/>
      </w:r>
      <w:r w:rsidRPr="00660087">
        <w:rPr>
          <w:rFonts w:ascii="Arial" w:hAnsi="Arial" w:cs="Arial"/>
          <w:szCs w:val="24"/>
        </w:rPr>
        <w:tab/>
      </w:r>
      <w:r w:rsidRPr="00660087">
        <w:rPr>
          <w:rFonts w:ascii="Arial" w:hAnsi="Arial" w:cs="Arial"/>
          <w:szCs w:val="24"/>
          <w:u w:val="single"/>
        </w:rPr>
        <w:t>Direct Costs</w:t>
      </w:r>
    </w:p>
    <w:p w14:paraId="07E4BCFE" w14:textId="050A8B73" w:rsidR="005117F3" w:rsidRPr="00660087" w:rsidRDefault="009A63DD" w:rsidP="008917BA">
      <w:pPr>
        <w:pStyle w:val="BodyTextIndent"/>
        <w:ind w:left="720" w:firstLine="0"/>
        <w:rPr>
          <w:rFonts w:ascii="Arial" w:hAnsi="Arial" w:cs="Arial"/>
          <w:szCs w:val="24"/>
        </w:rPr>
      </w:pPr>
      <w:r w:rsidRPr="00660087">
        <w:rPr>
          <w:rFonts w:ascii="Arial" w:hAnsi="Arial" w:cs="Arial"/>
          <w:szCs w:val="24"/>
        </w:rPr>
        <w:t xml:space="preserve">Direct costs </w:t>
      </w:r>
      <w:r w:rsidR="009217E0">
        <w:rPr>
          <w:rFonts w:ascii="Arial" w:hAnsi="Arial" w:cs="Arial"/>
          <w:szCs w:val="24"/>
        </w:rPr>
        <w:t xml:space="preserve">in Housing Accommodation Account </w:t>
      </w:r>
      <w:r w:rsidRPr="00660087">
        <w:rPr>
          <w:rFonts w:ascii="Arial" w:hAnsi="Arial" w:cs="Arial"/>
          <w:szCs w:val="24"/>
        </w:rPr>
        <w:t>are under budget by £</w:t>
      </w:r>
      <w:r w:rsidR="0096397C" w:rsidRPr="00660087">
        <w:rPr>
          <w:rFonts w:ascii="Arial" w:hAnsi="Arial" w:cs="Arial"/>
          <w:szCs w:val="24"/>
        </w:rPr>
        <w:t>2</w:t>
      </w:r>
      <w:r w:rsidR="00E3409A" w:rsidRPr="00660087">
        <w:rPr>
          <w:rFonts w:ascii="Arial" w:hAnsi="Arial" w:cs="Arial"/>
          <w:szCs w:val="24"/>
        </w:rPr>
        <w:t>2,540</w:t>
      </w:r>
      <w:r w:rsidR="00451D8C" w:rsidRPr="00660087">
        <w:rPr>
          <w:rFonts w:ascii="Arial" w:hAnsi="Arial" w:cs="Arial"/>
          <w:szCs w:val="24"/>
        </w:rPr>
        <w:t>.</w:t>
      </w:r>
    </w:p>
    <w:p w14:paraId="6D3304F5" w14:textId="77777777" w:rsidR="005117F3" w:rsidRPr="00660087" w:rsidRDefault="005117F3" w:rsidP="008917BA">
      <w:pPr>
        <w:pStyle w:val="BodyTextIndent"/>
        <w:ind w:left="720" w:firstLine="0"/>
        <w:rPr>
          <w:rFonts w:ascii="Arial" w:hAnsi="Arial" w:cs="Arial"/>
          <w:szCs w:val="24"/>
        </w:rPr>
      </w:pPr>
    </w:p>
    <w:p w14:paraId="59521D0B" w14:textId="77777777" w:rsidR="00C44524" w:rsidRPr="00660087" w:rsidRDefault="00C44524" w:rsidP="00CF7AE9">
      <w:pPr>
        <w:pStyle w:val="BodyTextIndent"/>
        <w:tabs>
          <w:tab w:val="num" w:pos="720"/>
        </w:tabs>
        <w:ind w:left="720" w:firstLine="0"/>
        <w:rPr>
          <w:rFonts w:ascii="Arial" w:hAnsi="Arial" w:cs="Arial"/>
          <w:szCs w:val="24"/>
        </w:rPr>
      </w:pPr>
      <w:r w:rsidRPr="00660087">
        <w:rPr>
          <w:rFonts w:ascii="Arial" w:hAnsi="Arial" w:cs="Arial"/>
          <w:szCs w:val="24"/>
        </w:rPr>
        <w:t>The main savings are in legal fees and the stock condition survey, with smaller savings in council tax and travel expenses.</w:t>
      </w:r>
    </w:p>
    <w:p w14:paraId="3E311A85" w14:textId="77777777" w:rsidR="00C44524" w:rsidRPr="00660087" w:rsidRDefault="00C44524" w:rsidP="00CF7AE9">
      <w:pPr>
        <w:pStyle w:val="BodyTextIndent"/>
        <w:tabs>
          <w:tab w:val="num" w:pos="720"/>
        </w:tabs>
        <w:ind w:left="720" w:firstLine="0"/>
        <w:rPr>
          <w:rFonts w:ascii="Arial" w:hAnsi="Arial" w:cs="Arial"/>
          <w:szCs w:val="24"/>
        </w:rPr>
      </w:pPr>
    </w:p>
    <w:p w14:paraId="7CD32CE4" w14:textId="650E9507" w:rsidR="00CF7AE9" w:rsidRPr="00660087" w:rsidRDefault="00F4457B" w:rsidP="00F4457B">
      <w:pPr>
        <w:pStyle w:val="BodyTextIndent"/>
        <w:tabs>
          <w:tab w:val="num" w:pos="720"/>
        </w:tabs>
        <w:ind w:left="720"/>
        <w:rPr>
          <w:rFonts w:ascii="Arial" w:hAnsi="Arial" w:cs="Arial"/>
          <w:szCs w:val="24"/>
        </w:rPr>
      </w:pPr>
      <w:r>
        <w:rPr>
          <w:rFonts w:ascii="Arial" w:hAnsi="Arial" w:cs="Arial"/>
          <w:szCs w:val="24"/>
        </w:rPr>
        <w:tab/>
        <w:t>T</w:t>
      </w:r>
      <w:r w:rsidR="00C44524" w:rsidRPr="00660087">
        <w:rPr>
          <w:rFonts w:ascii="Arial" w:hAnsi="Arial" w:cs="Arial"/>
          <w:szCs w:val="24"/>
        </w:rPr>
        <w:t>h</w:t>
      </w:r>
      <w:r w:rsidR="00CF7AE9" w:rsidRPr="00660087">
        <w:rPr>
          <w:rFonts w:ascii="Arial" w:hAnsi="Arial" w:cs="Arial"/>
          <w:szCs w:val="24"/>
        </w:rPr>
        <w:t xml:space="preserve">e legal process is now longer, taking 6 months rather than the normal 1, so legal fees will take longer to come through.  We do have 1 legal action currently that is expected to </w:t>
      </w:r>
      <w:r w:rsidR="00451D8C" w:rsidRPr="00660087">
        <w:rPr>
          <w:rFonts w:ascii="Arial" w:hAnsi="Arial" w:cs="Arial"/>
          <w:szCs w:val="24"/>
        </w:rPr>
        <w:t>incur a high fee</w:t>
      </w:r>
      <w:r w:rsidR="00CF7AE9" w:rsidRPr="00660087">
        <w:rPr>
          <w:rFonts w:ascii="Arial" w:hAnsi="Arial" w:cs="Arial"/>
          <w:szCs w:val="24"/>
        </w:rPr>
        <w:t>.</w:t>
      </w:r>
    </w:p>
    <w:p w14:paraId="4C6E1918" w14:textId="77777777" w:rsidR="00C44524" w:rsidRPr="00660087" w:rsidRDefault="00C44524" w:rsidP="00CF7AE9">
      <w:pPr>
        <w:pStyle w:val="BodyTextIndent"/>
        <w:tabs>
          <w:tab w:val="num" w:pos="720"/>
        </w:tabs>
        <w:ind w:left="720" w:firstLine="0"/>
        <w:rPr>
          <w:rFonts w:ascii="Arial" w:hAnsi="Arial" w:cs="Arial"/>
          <w:szCs w:val="24"/>
        </w:rPr>
      </w:pPr>
    </w:p>
    <w:p w14:paraId="36C587B5" w14:textId="77777777" w:rsidR="00C44524" w:rsidRPr="00660087" w:rsidRDefault="00C44524" w:rsidP="00CF7AE9">
      <w:pPr>
        <w:pStyle w:val="BodyTextIndent"/>
        <w:tabs>
          <w:tab w:val="num" w:pos="720"/>
        </w:tabs>
        <w:ind w:left="720" w:firstLine="0"/>
        <w:rPr>
          <w:rFonts w:ascii="Arial" w:hAnsi="Arial" w:cs="Arial"/>
          <w:szCs w:val="24"/>
        </w:rPr>
      </w:pPr>
      <w:r w:rsidRPr="00660087">
        <w:rPr>
          <w:rFonts w:ascii="Arial" w:hAnsi="Arial" w:cs="Arial"/>
          <w:szCs w:val="24"/>
        </w:rPr>
        <w:t>The stock condition survey is an actual saving with the quote coming in less than budget.</w:t>
      </w:r>
    </w:p>
    <w:p w14:paraId="52F40A5D" w14:textId="77777777" w:rsidR="008917BA" w:rsidRPr="00660087" w:rsidRDefault="008917BA" w:rsidP="008917BA">
      <w:pPr>
        <w:pStyle w:val="BodyTextIndent"/>
        <w:ind w:left="720" w:firstLine="0"/>
        <w:rPr>
          <w:rFonts w:ascii="Arial" w:hAnsi="Arial" w:cs="Arial"/>
          <w:szCs w:val="24"/>
        </w:rPr>
      </w:pPr>
    </w:p>
    <w:p w14:paraId="773E62EE" w14:textId="4818DEAB" w:rsidR="00CF7AE9" w:rsidRPr="00660087" w:rsidRDefault="008917BA" w:rsidP="008917BA">
      <w:pPr>
        <w:pStyle w:val="BodyTextIndent"/>
        <w:ind w:left="720" w:firstLine="0"/>
        <w:rPr>
          <w:rFonts w:ascii="Arial" w:hAnsi="Arial" w:cs="Arial"/>
          <w:szCs w:val="24"/>
        </w:rPr>
      </w:pPr>
      <w:r w:rsidRPr="00660087">
        <w:rPr>
          <w:rFonts w:ascii="Arial" w:hAnsi="Arial" w:cs="Arial"/>
          <w:szCs w:val="24"/>
        </w:rPr>
        <w:t xml:space="preserve">The projected outturn </w:t>
      </w:r>
      <w:r w:rsidR="00C44524" w:rsidRPr="00660087">
        <w:rPr>
          <w:rFonts w:ascii="Arial" w:hAnsi="Arial" w:cs="Arial"/>
          <w:szCs w:val="24"/>
        </w:rPr>
        <w:t>has been decreased to £</w:t>
      </w:r>
      <w:r w:rsidR="00E3409A" w:rsidRPr="00660087">
        <w:rPr>
          <w:rFonts w:ascii="Arial" w:hAnsi="Arial" w:cs="Arial"/>
          <w:szCs w:val="24"/>
        </w:rPr>
        <w:t>86,529</w:t>
      </w:r>
      <w:r w:rsidR="00C44524" w:rsidRPr="00660087">
        <w:rPr>
          <w:rFonts w:ascii="Arial" w:hAnsi="Arial" w:cs="Arial"/>
          <w:szCs w:val="24"/>
        </w:rPr>
        <w:t xml:space="preserve"> to reflect these.</w:t>
      </w:r>
      <w:r w:rsidRPr="00660087">
        <w:rPr>
          <w:rFonts w:ascii="Arial" w:hAnsi="Arial" w:cs="Arial"/>
          <w:szCs w:val="24"/>
        </w:rPr>
        <w:t xml:space="preserve"> </w:t>
      </w:r>
    </w:p>
    <w:p w14:paraId="2F6639CD" w14:textId="0D85DC82" w:rsidR="008917BA" w:rsidRPr="00660087" w:rsidRDefault="008917BA" w:rsidP="008917BA">
      <w:pPr>
        <w:pStyle w:val="BodyTextIndent"/>
        <w:ind w:left="720" w:firstLine="0"/>
        <w:rPr>
          <w:rFonts w:ascii="Arial" w:hAnsi="Arial" w:cs="Arial"/>
          <w:szCs w:val="24"/>
        </w:rPr>
      </w:pPr>
      <w:r w:rsidRPr="00660087">
        <w:rPr>
          <w:rFonts w:ascii="Arial" w:hAnsi="Arial" w:cs="Arial"/>
          <w:szCs w:val="24"/>
        </w:rPr>
        <w:t>Appendix 2 Line 10</w:t>
      </w:r>
    </w:p>
    <w:p w14:paraId="7FC43254" w14:textId="3E02E3CE" w:rsidR="00344E2B" w:rsidRDefault="009217E0" w:rsidP="009A63DD">
      <w:pPr>
        <w:pStyle w:val="BodyTextIndent"/>
        <w:rPr>
          <w:rFonts w:ascii="Arial" w:hAnsi="Arial" w:cs="Arial"/>
          <w:color w:val="FF0000"/>
          <w:szCs w:val="24"/>
        </w:rPr>
      </w:pPr>
      <w:r>
        <w:rPr>
          <w:rFonts w:ascii="Arial" w:hAnsi="Arial" w:cs="Arial"/>
          <w:color w:val="FF0000"/>
          <w:szCs w:val="24"/>
        </w:rPr>
        <w:tab/>
      </w:r>
    </w:p>
    <w:p w14:paraId="7963BAEC" w14:textId="77777777" w:rsidR="00780FD1" w:rsidRDefault="00780FD1" w:rsidP="009A63DD">
      <w:pPr>
        <w:pStyle w:val="BodyTextIndent"/>
        <w:rPr>
          <w:rFonts w:ascii="Arial" w:hAnsi="Arial" w:cs="Arial"/>
          <w:color w:val="FF0000"/>
          <w:szCs w:val="24"/>
        </w:rPr>
      </w:pPr>
    </w:p>
    <w:p w14:paraId="746A644B" w14:textId="77777777" w:rsidR="00780FD1" w:rsidRPr="0034648B" w:rsidRDefault="00780FD1" w:rsidP="009A63DD">
      <w:pPr>
        <w:pStyle w:val="BodyTextIndent"/>
        <w:rPr>
          <w:rFonts w:ascii="Arial" w:hAnsi="Arial" w:cs="Arial"/>
          <w:szCs w:val="24"/>
          <w:u w:val="single"/>
        </w:rPr>
      </w:pPr>
      <w:r w:rsidRPr="0034648B">
        <w:rPr>
          <w:rFonts w:ascii="Arial" w:hAnsi="Arial" w:cs="Arial"/>
          <w:szCs w:val="24"/>
        </w:rPr>
        <w:t>4.10</w:t>
      </w:r>
      <w:r w:rsidR="009217E0" w:rsidRPr="0034648B">
        <w:rPr>
          <w:rFonts w:ascii="Arial" w:hAnsi="Arial" w:cs="Arial"/>
          <w:szCs w:val="24"/>
        </w:rPr>
        <w:tab/>
      </w:r>
      <w:r w:rsidR="009217E0" w:rsidRPr="0034648B">
        <w:rPr>
          <w:rFonts w:ascii="Arial" w:hAnsi="Arial" w:cs="Arial"/>
          <w:szCs w:val="24"/>
        </w:rPr>
        <w:tab/>
      </w:r>
      <w:r w:rsidRPr="0034648B">
        <w:rPr>
          <w:rFonts w:ascii="Arial" w:hAnsi="Arial" w:cs="Arial"/>
          <w:szCs w:val="24"/>
          <w:u w:val="single"/>
        </w:rPr>
        <w:t>Direct C</w:t>
      </w:r>
      <w:r w:rsidR="009217E0" w:rsidRPr="0034648B">
        <w:rPr>
          <w:rFonts w:ascii="Arial" w:hAnsi="Arial" w:cs="Arial"/>
          <w:szCs w:val="24"/>
          <w:u w:val="single"/>
        </w:rPr>
        <w:t xml:space="preserve">osts </w:t>
      </w:r>
      <w:r w:rsidRPr="0034648B">
        <w:rPr>
          <w:rFonts w:ascii="Arial" w:hAnsi="Arial" w:cs="Arial"/>
          <w:szCs w:val="24"/>
          <w:u w:val="single"/>
        </w:rPr>
        <w:t xml:space="preserve">- </w:t>
      </w:r>
      <w:r w:rsidR="009217E0" w:rsidRPr="0034648B">
        <w:rPr>
          <w:rFonts w:ascii="Arial" w:hAnsi="Arial" w:cs="Arial"/>
          <w:szCs w:val="24"/>
          <w:u w:val="single"/>
        </w:rPr>
        <w:t xml:space="preserve">Development  </w:t>
      </w:r>
    </w:p>
    <w:p w14:paraId="1B9037F1" w14:textId="293C26F8" w:rsidR="00780FD1" w:rsidRPr="0034648B" w:rsidRDefault="00780FD1" w:rsidP="003A270D">
      <w:pPr>
        <w:pStyle w:val="BodyTextIndent"/>
        <w:ind w:left="709"/>
        <w:rPr>
          <w:rFonts w:ascii="Arial" w:hAnsi="Arial" w:cs="Arial"/>
          <w:szCs w:val="24"/>
        </w:rPr>
      </w:pPr>
      <w:r w:rsidRPr="0034648B">
        <w:rPr>
          <w:rFonts w:ascii="Arial" w:hAnsi="Arial" w:cs="Arial"/>
          <w:szCs w:val="24"/>
        </w:rPr>
        <w:tab/>
      </w:r>
      <w:r w:rsidRPr="0034648B">
        <w:rPr>
          <w:rFonts w:ascii="Arial" w:hAnsi="Arial" w:cs="Arial"/>
          <w:szCs w:val="24"/>
        </w:rPr>
        <w:tab/>
        <w:t xml:space="preserve">Development Consultants are underspent to date by £12,269.  This is due to </w:t>
      </w:r>
      <w:r w:rsidR="003A270D" w:rsidRPr="0034648B">
        <w:rPr>
          <w:rFonts w:ascii="Arial" w:hAnsi="Arial" w:cs="Arial"/>
          <w:szCs w:val="24"/>
        </w:rPr>
        <w:t xml:space="preserve">most of the consultant </w:t>
      </w:r>
      <w:r w:rsidRPr="0034648B">
        <w:rPr>
          <w:rFonts w:ascii="Arial" w:hAnsi="Arial" w:cs="Arial"/>
          <w:szCs w:val="24"/>
        </w:rPr>
        <w:t xml:space="preserve">spend </w:t>
      </w:r>
      <w:r w:rsidR="003A270D" w:rsidRPr="0034648B">
        <w:rPr>
          <w:rFonts w:ascii="Arial" w:hAnsi="Arial" w:cs="Arial"/>
          <w:szCs w:val="24"/>
        </w:rPr>
        <w:t>being capit</w:t>
      </w:r>
      <w:r w:rsidRPr="0034648B">
        <w:rPr>
          <w:rFonts w:ascii="Arial" w:hAnsi="Arial" w:cs="Arial"/>
          <w:szCs w:val="24"/>
        </w:rPr>
        <w:t xml:space="preserve">alised </w:t>
      </w:r>
      <w:r w:rsidR="003A270D" w:rsidRPr="0034648B">
        <w:rPr>
          <w:rFonts w:ascii="Arial" w:hAnsi="Arial" w:cs="Arial"/>
          <w:szCs w:val="24"/>
        </w:rPr>
        <w:t>against the current developments.</w:t>
      </w:r>
    </w:p>
    <w:p w14:paraId="5D9712AE" w14:textId="77777777" w:rsidR="003A270D" w:rsidRPr="0034648B" w:rsidRDefault="003A270D" w:rsidP="003A270D">
      <w:pPr>
        <w:pStyle w:val="BodyTextIndent"/>
        <w:ind w:left="709"/>
        <w:rPr>
          <w:rFonts w:ascii="Arial" w:hAnsi="Arial" w:cs="Arial"/>
          <w:szCs w:val="24"/>
        </w:rPr>
      </w:pPr>
    </w:p>
    <w:p w14:paraId="317BBD11" w14:textId="2F676983" w:rsidR="003A270D" w:rsidRPr="0034648B" w:rsidRDefault="003A270D" w:rsidP="003A270D">
      <w:pPr>
        <w:pStyle w:val="BodyTextIndent"/>
        <w:ind w:left="709"/>
        <w:rPr>
          <w:rFonts w:ascii="Arial" w:hAnsi="Arial" w:cs="Arial"/>
          <w:szCs w:val="24"/>
        </w:rPr>
      </w:pPr>
      <w:r w:rsidRPr="0034648B">
        <w:rPr>
          <w:rFonts w:ascii="Arial" w:hAnsi="Arial" w:cs="Arial"/>
          <w:szCs w:val="24"/>
        </w:rPr>
        <w:tab/>
        <w:t>A requirement for inspections has been identified at Orchard Street, the</w:t>
      </w:r>
      <w:r w:rsidR="00DF5050" w:rsidRPr="0034648B">
        <w:rPr>
          <w:rFonts w:ascii="Arial" w:hAnsi="Arial" w:cs="Arial"/>
          <w:szCs w:val="24"/>
        </w:rPr>
        <w:t xml:space="preserve"> propping to the end of March will be £1,200.</w:t>
      </w:r>
      <w:r w:rsidRPr="0034648B">
        <w:rPr>
          <w:rFonts w:ascii="Arial" w:hAnsi="Arial" w:cs="Arial"/>
          <w:szCs w:val="24"/>
        </w:rPr>
        <w:t xml:space="preserve"> </w:t>
      </w:r>
    </w:p>
    <w:p w14:paraId="24CBBDF3" w14:textId="73E0A97C" w:rsidR="002841FF" w:rsidRPr="0034648B" w:rsidRDefault="009217E0" w:rsidP="009A63DD">
      <w:pPr>
        <w:pStyle w:val="BodyTextIndent"/>
        <w:rPr>
          <w:rFonts w:ascii="Arial" w:hAnsi="Arial" w:cs="Arial"/>
          <w:szCs w:val="24"/>
        </w:rPr>
      </w:pPr>
      <w:r w:rsidRPr="0034648B">
        <w:rPr>
          <w:rFonts w:ascii="Arial" w:hAnsi="Arial" w:cs="Arial"/>
          <w:szCs w:val="24"/>
        </w:rPr>
        <w:tab/>
      </w:r>
      <w:r w:rsidRPr="0034648B">
        <w:rPr>
          <w:rFonts w:ascii="Arial" w:hAnsi="Arial" w:cs="Arial"/>
          <w:szCs w:val="24"/>
        </w:rPr>
        <w:tab/>
        <w:t xml:space="preserve"> </w:t>
      </w:r>
      <w:r w:rsidRPr="0034648B">
        <w:rPr>
          <w:rFonts w:ascii="Arial" w:hAnsi="Arial" w:cs="Arial"/>
          <w:szCs w:val="24"/>
        </w:rPr>
        <w:tab/>
      </w:r>
      <w:r w:rsidRPr="0034648B">
        <w:rPr>
          <w:rFonts w:ascii="Arial" w:hAnsi="Arial" w:cs="Arial"/>
          <w:szCs w:val="24"/>
        </w:rPr>
        <w:tab/>
      </w:r>
    </w:p>
    <w:p w14:paraId="08CD3324" w14:textId="6A669B2A" w:rsidR="009217E0" w:rsidRPr="0034648B" w:rsidRDefault="009217E0" w:rsidP="009217E0">
      <w:pPr>
        <w:pStyle w:val="BodyTextIndent"/>
        <w:ind w:left="720" w:firstLine="0"/>
        <w:rPr>
          <w:rFonts w:ascii="Arial" w:hAnsi="Arial" w:cs="Arial"/>
          <w:szCs w:val="24"/>
        </w:rPr>
      </w:pPr>
      <w:r w:rsidRPr="0034648B">
        <w:rPr>
          <w:rFonts w:ascii="Arial" w:hAnsi="Arial" w:cs="Arial"/>
          <w:szCs w:val="24"/>
        </w:rPr>
        <w:t>T</w:t>
      </w:r>
      <w:r w:rsidR="00780FD1" w:rsidRPr="0034648B">
        <w:rPr>
          <w:rFonts w:ascii="Arial" w:hAnsi="Arial" w:cs="Arial"/>
          <w:szCs w:val="24"/>
        </w:rPr>
        <w:t>he projected outturn has been de</w:t>
      </w:r>
      <w:r w:rsidRPr="0034648B">
        <w:rPr>
          <w:rFonts w:ascii="Arial" w:hAnsi="Arial" w:cs="Arial"/>
          <w:szCs w:val="24"/>
        </w:rPr>
        <w:t>creased to £</w:t>
      </w:r>
      <w:r w:rsidR="003A270D" w:rsidRPr="0034648B">
        <w:rPr>
          <w:rFonts w:ascii="Arial" w:hAnsi="Arial" w:cs="Arial"/>
          <w:szCs w:val="24"/>
        </w:rPr>
        <w:t>6,000</w:t>
      </w:r>
      <w:r w:rsidRPr="0034648B">
        <w:rPr>
          <w:rFonts w:ascii="Arial" w:hAnsi="Arial" w:cs="Arial"/>
          <w:szCs w:val="24"/>
        </w:rPr>
        <w:t xml:space="preserve"> to reflect these. </w:t>
      </w:r>
    </w:p>
    <w:p w14:paraId="432F9B0F" w14:textId="63690CC4" w:rsidR="009217E0" w:rsidRPr="0034648B" w:rsidRDefault="009217E0" w:rsidP="009217E0">
      <w:pPr>
        <w:pStyle w:val="BodyTextIndent"/>
        <w:ind w:left="720" w:firstLine="0"/>
        <w:rPr>
          <w:rFonts w:ascii="Arial" w:hAnsi="Arial" w:cs="Arial"/>
          <w:szCs w:val="24"/>
        </w:rPr>
      </w:pPr>
      <w:r w:rsidRPr="0034648B">
        <w:rPr>
          <w:rFonts w:ascii="Arial" w:hAnsi="Arial" w:cs="Arial"/>
          <w:szCs w:val="24"/>
        </w:rPr>
        <w:t>Appendix 3 Line 11</w:t>
      </w:r>
    </w:p>
    <w:p w14:paraId="10778DE9" w14:textId="145C6405" w:rsidR="009217E0" w:rsidRDefault="009217E0" w:rsidP="009A63DD">
      <w:pPr>
        <w:pStyle w:val="BodyTextIndent"/>
        <w:rPr>
          <w:rFonts w:ascii="Arial" w:hAnsi="Arial" w:cs="Arial"/>
          <w:color w:val="FF0000"/>
          <w:szCs w:val="24"/>
        </w:rPr>
      </w:pPr>
    </w:p>
    <w:p w14:paraId="0CD2DEC1" w14:textId="77777777" w:rsidR="003A270D" w:rsidRPr="0034266B" w:rsidRDefault="003A270D" w:rsidP="009A63DD">
      <w:pPr>
        <w:pStyle w:val="BodyTextIndent"/>
        <w:rPr>
          <w:rFonts w:ascii="Arial" w:hAnsi="Arial" w:cs="Arial"/>
          <w:color w:val="FF0000"/>
          <w:szCs w:val="24"/>
        </w:rPr>
      </w:pPr>
    </w:p>
    <w:p w14:paraId="3742C974" w14:textId="3E10BF37" w:rsidR="00145F2F" w:rsidRPr="00660087" w:rsidRDefault="009A63DD" w:rsidP="009A63DD">
      <w:pPr>
        <w:pStyle w:val="BodyTextIndent"/>
        <w:rPr>
          <w:rFonts w:ascii="Arial" w:hAnsi="Arial" w:cs="Arial"/>
          <w:szCs w:val="24"/>
          <w:u w:val="single"/>
        </w:rPr>
      </w:pPr>
      <w:r w:rsidRPr="00660087">
        <w:rPr>
          <w:rFonts w:ascii="Arial" w:hAnsi="Arial" w:cs="Arial"/>
          <w:szCs w:val="24"/>
        </w:rPr>
        <w:t>4.</w:t>
      </w:r>
      <w:r w:rsidR="0034648B">
        <w:rPr>
          <w:rFonts w:ascii="Arial" w:hAnsi="Arial" w:cs="Arial"/>
          <w:szCs w:val="24"/>
        </w:rPr>
        <w:t>11</w:t>
      </w:r>
      <w:r w:rsidRPr="00660087">
        <w:rPr>
          <w:rFonts w:ascii="Arial" w:hAnsi="Arial" w:cs="Arial"/>
          <w:szCs w:val="24"/>
        </w:rPr>
        <w:tab/>
      </w:r>
      <w:r w:rsidRPr="00660087">
        <w:rPr>
          <w:rFonts w:ascii="Arial" w:hAnsi="Arial" w:cs="Arial"/>
          <w:szCs w:val="24"/>
        </w:rPr>
        <w:tab/>
      </w:r>
      <w:r w:rsidR="00145F2F" w:rsidRPr="00660087">
        <w:rPr>
          <w:rFonts w:ascii="Arial" w:hAnsi="Arial" w:cs="Arial"/>
          <w:szCs w:val="24"/>
          <w:u w:val="single"/>
        </w:rPr>
        <w:t xml:space="preserve">Common Service </w:t>
      </w:r>
      <w:r w:rsidR="0017056F" w:rsidRPr="00660087">
        <w:rPr>
          <w:rFonts w:ascii="Arial" w:hAnsi="Arial" w:cs="Arial"/>
          <w:szCs w:val="24"/>
          <w:u w:val="single"/>
        </w:rPr>
        <w:t>C</w:t>
      </w:r>
      <w:r w:rsidR="00145F2F" w:rsidRPr="00660087">
        <w:rPr>
          <w:rFonts w:ascii="Arial" w:hAnsi="Arial" w:cs="Arial"/>
          <w:szCs w:val="24"/>
          <w:u w:val="single"/>
        </w:rPr>
        <w:t>harges</w:t>
      </w:r>
    </w:p>
    <w:p w14:paraId="18372722" w14:textId="49F5D7DB" w:rsidR="005117F3" w:rsidRPr="00660087" w:rsidRDefault="009362E4" w:rsidP="000E6CA8">
      <w:pPr>
        <w:pStyle w:val="BodyTextIndent"/>
        <w:ind w:left="709" w:firstLine="0"/>
        <w:rPr>
          <w:rFonts w:ascii="Arial" w:hAnsi="Arial" w:cs="Arial"/>
          <w:szCs w:val="24"/>
        </w:rPr>
      </w:pPr>
      <w:r w:rsidRPr="00660087">
        <w:rPr>
          <w:rFonts w:ascii="Arial" w:hAnsi="Arial" w:cs="Arial"/>
          <w:szCs w:val="24"/>
        </w:rPr>
        <w:t>Common Services is under budget by £</w:t>
      </w:r>
      <w:r w:rsidR="002A365C" w:rsidRPr="00660087">
        <w:rPr>
          <w:rFonts w:ascii="Arial" w:hAnsi="Arial" w:cs="Arial"/>
          <w:szCs w:val="24"/>
        </w:rPr>
        <w:t>1</w:t>
      </w:r>
      <w:r w:rsidR="003D5BCA" w:rsidRPr="00660087">
        <w:rPr>
          <w:rFonts w:ascii="Arial" w:hAnsi="Arial" w:cs="Arial"/>
          <w:szCs w:val="24"/>
        </w:rPr>
        <w:t>1</w:t>
      </w:r>
      <w:r w:rsidR="002A365C" w:rsidRPr="00660087">
        <w:rPr>
          <w:rFonts w:ascii="Arial" w:hAnsi="Arial" w:cs="Arial"/>
          <w:szCs w:val="24"/>
        </w:rPr>
        <w:t>,884</w:t>
      </w:r>
    </w:p>
    <w:p w14:paraId="16E4FB7A" w14:textId="77777777" w:rsidR="005117F3" w:rsidRPr="00660087" w:rsidRDefault="005117F3" w:rsidP="000E6CA8">
      <w:pPr>
        <w:pStyle w:val="BodyTextIndent"/>
        <w:ind w:left="709" w:firstLine="0"/>
        <w:rPr>
          <w:rFonts w:ascii="Arial" w:hAnsi="Arial" w:cs="Arial"/>
          <w:szCs w:val="24"/>
        </w:rPr>
      </w:pPr>
    </w:p>
    <w:p w14:paraId="69902CAB" w14:textId="38BF71BB" w:rsidR="00CF7AE9" w:rsidRPr="00660087" w:rsidRDefault="00CF7AE9" w:rsidP="000E6CA8">
      <w:pPr>
        <w:pStyle w:val="BodyTextIndent"/>
        <w:ind w:left="709" w:firstLine="0"/>
        <w:rPr>
          <w:rFonts w:ascii="Arial" w:hAnsi="Arial" w:cs="Arial"/>
          <w:szCs w:val="24"/>
        </w:rPr>
      </w:pPr>
      <w:r w:rsidRPr="00660087">
        <w:rPr>
          <w:rFonts w:ascii="Arial" w:hAnsi="Arial" w:cs="Arial"/>
          <w:szCs w:val="24"/>
        </w:rPr>
        <w:t xml:space="preserve">This is </w:t>
      </w:r>
      <w:r w:rsidR="0000241A">
        <w:rPr>
          <w:rFonts w:ascii="Arial" w:hAnsi="Arial" w:cs="Arial"/>
          <w:szCs w:val="24"/>
        </w:rPr>
        <w:t xml:space="preserve">mainly </w:t>
      </w:r>
      <w:r w:rsidRPr="00660087">
        <w:rPr>
          <w:rFonts w:ascii="Arial" w:hAnsi="Arial" w:cs="Arial"/>
          <w:szCs w:val="24"/>
        </w:rPr>
        <w:t>due to an underspend in landscape maintenance and an overspend in bulk uplifts.</w:t>
      </w:r>
    </w:p>
    <w:p w14:paraId="5B0E828C" w14:textId="77777777" w:rsidR="00CF7AE9" w:rsidRPr="00660087" w:rsidRDefault="00CF7AE9" w:rsidP="000E6CA8">
      <w:pPr>
        <w:pStyle w:val="BodyTextIndent"/>
        <w:ind w:left="709" w:firstLine="0"/>
        <w:rPr>
          <w:rFonts w:ascii="Arial" w:hAnsi="Arial" w:cs="Arial"/>
          <w:szCs w:val="24"/>
        </w:rPr>
      </w:pPr>
    </w:p>
    <w:p w14:paraId="56B31A50" w14:textId="1EA352B7" w:rsidR="00515E34" w:rsidRPr="00660087" w:rsidRDefault="00660087" w:rsidP="000E6CA8">
      <w:pPr>
        <w:pStyle w:val="BodyTextIndent"/>
        <w:ind w:left="709" w:firstLine="0"/>
        <w:rPr>
          <w:rFonts w:ascii="Arial" w:hAnsi="Arial" w:cs="Arial"/>
          <w:szCs w:val="24"/>
        </w:rPr>
      </w:pPr>
      <w:r w:rsidRPr="00660087">
        <w:rPr>
          <w:rFonts w:ascii="Arial" w:hAnsi="Arial" w:cs="Arial"/>
          <w:szCs w:val="24"/>
        </w:rPr>
        <w:t xml:space="preserve">With </w:t>
      </w:r>
      <w:r w:rsidR="00745C95" w:rsidRPr="00660087">
        <w:rPr>
          <w:rFonts w:ascii="Arial" w:hAnsi="Arial" w:cs="Arial"/>
          <w:szCs w:val="24"/>
        </w:rPr>
        <w:t>L</w:t>
      </w:r>
      <w:r w:rsidR="00CF7AE9" w:rsidRPr="00660087">
        <w:rPr>
          <w:rFonts w:ascii="Arial" w:hAnsi="Arial" w:cs="Arial"/>
          <w:szCs w:val="24"/>
        </w:rPr>
        <w:t xml:space="preserve">andscape maintenance </w:t>
      </w:r>
      <w:r w:rsidRPr="00660087">
        <w:rPr>
          <w:rFonts w:ascii="Arial" w:hAnsi="Arial" w:cs="Arial"/>
          <w:szCs w:val="24"/>
        </w:rPr>
        <w:t>w</w:t>
      </w:r>
      <w:r w:rsidR="00F06E7A" w:rsidRPr="00660087">
        <w:rPr>
          <w:rFonts w:ascii="Arial" w:hAnsi="Arial" w:cs="Arial"/>
          <w:szCs w:val="24"/>
        </w:rPr>
        <w:t>e ha</w:t>
      </w:r>
      <w:r w:rsidRPr="00660087">
        <w:rPr>
          <w:rFonts w:ascii="Arial" w:hAnsi="Arial" w:cs="Arial"/>
          <w:szCs w:val="24"/>
        </w:rPr>
        <w:t>ven’t had to use ou</w:t>
      </w:r>
      <w:r w:rsidR="00F06E7A" w:rsidRPr="00660087">
        <w:rPr>
          <w:rFonts w:ascii="Arial" w:hAnsi="Arial" w:cs="Arial"/>
          <w:szCs w:val="24"/>
        </w:rPr>
        <w:t>r additional cost p</w:t>
      </w:r>
      <w:r w:rsidRPr="00660087">
        <w:rPr>
          <w:rFonts w:ascii="Arial" w:hAnsi="Arial" w:cs="Arial"/>
          <w:szCs w:val="24"/>
        </w:rPr>
        <w:t>rovision</w:t>
      </w:r>
      <w:r w:rsidR="00F06E7A" w:rsidRPr="00660087">
        <w:rPr>
          <w:rFonts w:ascii="Arial" w:hAnsi="Arial" w:cs="Arial"/>
          <w:szCs w:val="24"/>
        </w:rPr>
        <w:t xml:space="preserve"> and ha</w:t>
      </w:r>
      <w:r w:rsidRPr="00660087">
        <w:rPr>
          <w:rFonts w:ascii="Arial" w:hAnsi="Arial" w:cs="Arial"/>
          <w:szCs w:val="24"/>
        </w:rPr>
        <w:t>ve reduced the outturn accordin</w:t>
      </w:r>
      <w:r w:rsidR="00F06E7A" w:rsidRPr="00660087">
        <w:rPr>
          <w:rFonts w:ascii="Arial" w:hAnsi="Arial" w:cs="Arial"/>
          <w:szCs w:val="24"/>
        </w:rPr>
        <w:t>g</w:t>
      </w:r>
      <w:r w:rsidRPr="00660087">
        <w:rPr>
          <w:rFonts w:ascii="Arial" w:hAnsi="Arial" w:cs="Arial"/>
          <w:szCs w:val="24"/>
        </w:rPr>
        <w:t>l</w:t>
      </w:r>
      <w:r w:rsidR="00F06E7A" w:rsidRPr="00660087">
        <w:rPr>
          <w:rFonts w:ascii="Arial" w:hAnsi="Arial" w:cs="Arial"/>
          <w:szCs w:val="24"/>
        </w:rPr>
        <w:t>y.</w:t>
      </w:r>
      <w:r w:rsidR="00CF7AE9" w:rsidRPr="00660087">
        <w:rPr>
          <w:rFonts w:ascii="Arial" w:hAnsi="Arial" w:cs="Arial"/>
          <w:szCs w:val="24"/>
        </w:rPr>
        <w:t xml:space="preserve"> </w:t>
      </w:r>
    </w:p>
    <w:p w14:paraId="300546A8" w14:textId="77777777" w:rsidR="00F6012E" w:rsidRPr="00660087" w:rsidRDefault="00F6012E" w:rsidP="000E6CA8">
      <w:pPr>
        <w:pStyle w:val="BodyTextIndent"/>
        <w:ind w:left="709" w:firstLine="0"/>
        <w:rPr>
          <w:rFonts w:ascii="Arial" w:hAnsi="Arial" w:cs="Arial"/>
          <w:szCs w:val="24"/>
        </w:rPr>
      </w:pPr>
    </w:p>
    <w:p w14:paraId="55745B78" w14:textId="5572C4C7" w:rsidR="00F10563" w:rsidRPr="00660087" w:rsidRDefault="00D63505" w:rsidP="000E6CA8">
      <w:pPr>
        <w:pStyle w:val="BodyTextIndent"/>
        <w:ind w:left="709" w:firstLine="0"/>
        <w:rPr>
          <w:rFonts w:ascii="Arial" w:hAnsi="Arial" w:cs="Arial"/>
          <w:szCs w:val="24"/>
        </w:rPr>
      </w:pPr>
      <w:r w:rsidRPr="00660087">
        <w:rPr>
          <w:rFonts w:ascii="Arial" w:hAnsi="Arial" w:cs="Arial"/>
          <w:szCs w:val="24"/>
        </w:rPr>
        <w:t xml:space="preserve">Bulk is overspent to date, </w:t>
      </w:r>
      <w:r w:rsidR="00CF7AE9" w:rsidRPr="00660087">
        <w:rPr>
          <w:rFonts w:ascii="Arial" w:hAnsi="Arial" w:cs="Arial"/>
          <w:szCs w:val="24"/>
        </w:rPr>
        <w:t>t</w:t>
      </w:r>
      <w:r w:rsidR="00515E34" w:rsidRPr="00660087">
        <w:rPr>
          <w:rFonts w:ascii="Arial" w:hAnsi="Arial" w:cs="Arial"/>
          <w:szCs w:val="24"/>
        </w:rPr>
        <w:t>here is an increas</w:t>
      </w:r>
      <w:r w:rsidR="0017056F" w:rsidRPr="00660087">
        <w:rPr>
          <w:rFonts w:ascii="Arial" w:hAnsi="Arial" w:cs="Arial"/>
          <w:szCs w:val="24"/>
        </w:rPr>
        <w:t xml:space="preserve">e in the </w:t>
      </w:r>
      <w:r w:rsidR="00515E34" w:rsidRPr="00660087">
        <w:rPr>
          <w:rFonts w:ascii="Arial" w:hAnsi="Arial" w:cs="Arial"/>
          <w:szCs w:val="24"/>
        </w:rPr>
        <w:t>number of people contacting us and</w:t>
      </w:r>
      <w:r w:rsidR="0017056F" w:rsidRPr="00660087">
        <w:rPr>
          <w:rFonts w:ascii="Arial" w:hAnsi="Arial" w:cs="Arial"/>
          <w:szCs w:val="24"/>
        </w:rPr>
        <w:t xml:space="preserve"> a significant</w:t>
      </w:r>
      <w:r w:rsidR="00515E34" w:rsidRPr="00660087">
        <w:rPr>
          <w:rFonts w:ascii="Arial" w:hAnsi="Arial" w:cs="Arial"/>
          <w:szCs w:val="24"/>
        </w:rPr>
        <w:t xml:space="preserve"> </w:t>
      </w:r>
      <w:r w:rsidR="004D4826" w:rsidRPr="00660087">
        <w:rPr>
          <w:rFonts w:ascii="Arial" w:hAnsi="Arial" w:cs="Arial"/>
          <w:szCs w:val="24"/>
        </w:rPr>
        <w:t xml:space="preserve">increase in </w:t>
      </w:r>
      <w:r w:rsidR="00515E34" w:rsidRPr="00660087">
        <w:rPr>
          <w:rFonts w:ascii="Arial" w:hAnsi="Arial" w:cs="Arial"/>
          <w:szCs w:val="24"/>
        </w:rPr>
        <w:t xml:space="preserve">volume of </w:t>
      </w:r>
      <w:r w:rsidR="00E244AE" w:rsidRPr="00660087">
        <w:rPr>
          <w:rFonts w:ascii="Arial" w:hAnsi="Arial" w:cs="Arial"/>
          <w:szCs w:val="24"/>
        </w:rPr>
        <w:t>items</w:t>
      </w:r>
      <w:r w:rsidR="00451D8C" w:rsidRPr="00660087">
        <w:rPr>
          <w:rFonts w:ascii="Arial" w:hAnsi="Arial" w:cs="Arial"/>
          <w:szCs w:val="24"/>
        </w:rPr>
        <w:t>,</w:t>
      </w:r>
      <w:r w:rsidR="00515E34" w:rsidRPr="00660087">
        <w:rPr>
          <w:rFonts w:ascii="Arial" w:hAnsi="Arial" w:cs="Arial"/>
          <w:szCs w:val="24"/>
        </w:rPr>
        <w:t xml:space="preserve"> leading to increased costs as we pay per tonnage. </w:t>
      </w:r>
      <w:r w:rsidR="00F6012E" w:rsidRPr="00660087">
        <w:rPr>
          <w:rFonts w:ascii="Arial" w:hAnsi="Arial" w:cs="Arial"/>
          <w:szCs w:val="24"/>
        </w:rPr>
        <w:t>There has been a more limited pickup</w:t>
      </w:r>
      <w:r w:rsidR="00F10563" w:rsidRPr="00660087">
        <w:rPr>
          <w:rFonts w:ascii="Arial" w:hAnsi="Arial" w:cs="Arial"/>
          <w:szCs w:val="24"/>
        </w:rPr>
        <w:t xml:space="preserve"> by the estates team </w:t>
      </w:r>
      <w:r w:rsidR="0017056F" w:rsidRPr="00660087">
        <w:rPr>
          <w:rFonts w:ascii="Arial" w:hAnsi="Arial" w:cs="Arial"/>
          <w:szCs w:val="24"/>
        </w:rPr>
        <w:t>due to covid</w:t>
      </w:r>
      <w:r w:rsidR="00F10563" w:rsidRPr="00660087">
        <w:rPr>
          <w:rFonts w:ascii="Arial" w:hAnsi="Arial" w:cs="Arial"/>
          <w:szCs w:val="24"/>
        </w:rPr>
        <w:t>.  A</w:t>
      </w:r>
      <w:r w:rsidR="00F6012E" w:rsidRPr="00660087">
        <w:rPr>
          <w:rFonts w:ascii="Arial" w:hAnsi="Arial" w:cs="Arial"/>
          <w:szCs w:val="24"/>
        </w:rPr>
        <w:t xml:space="preserve">t year end, any surplus </w:t>
      </w:r>
      <w:r w:rsidR="00F10563" w:rsidRPr="00660087">
        <w:rPr>
          <w:rFonts w:ascii="Arial" w:hAnsi="Arial" w:cs="Arial"/>
          <w:szCs w:val="24"/>
        </w:rPr>
        <w:t xml:space="preserve">against </w:t>
      </w:r>
      <w:r w:rsidR="007E3E72" w:rsidRPr="00660087">
        <w:rPr>
          <w:rFonts w:ascii="Arial" w:hAnsi="Arial" w:cs="Arial"/>
          <w:szCs w:val="24"/>
        </w:rPr>
        <w:t xml:space="preserve">Estate Team </w:t>
      </w:r>
      <w:r w:rsidR="00F10563" w:rsidRPr="00660087">
        <w:rPr>
          <w:rFonts w:ascii="Arial" w:hAnsi="Arial" w:cs="Arial"/>
          <w:szCs w:val="24"/>
        </w:rPr>
        <w:t xml:space="preserve">skip costs will </w:t>
      </w:r>
      <w:r w:rsidR="0000241A">
        <w:rPr>
          <w:rFonts w:ascii="Arial" w:hAnsi="Arial" w:cs="Arial"/>
          <w:szCs w:val="24"/>
        </w:rPr>
        <w:t>assist to reduce total</w:t>
      </w:r>
      <w:r w:rsidR="00F10563" w:rsidRPr="00660087">
        <w:rPr>
          <w:rFonts w:ascii="Arial" w:hAnsi="Arial" w:cs="Arial"/>
          <w:szCs w:val="24"/>
        </w:rPr>
        <w:t xml:space="preserve"> bulk costs however, we still anti</w:t>
      </w:r>
      <w:r w:rsidR="007E3E72" w:rsidRPr="00660087">
        <w:rPr>
          <w:rFonts w:ascii="Arial" w:hAnsi="Arial" w:cs="Arial"/>
          <w:szCs w:val="24"/>
        </w:rPr>
        <w:t>cipate Bulk to be overspent at y</w:t>
      </w:r>
      <w:r w:rsidR="00F10563" w:rsidRPr="00660087">
        <w:rPr>
          <w:rFonts w:ascii="Arial" w:hAnsi="Arial" w:cs="Arial"/>
          <w:szCs w:val="24"/>
        </w:rPr>
        <w:t>ear end.</w:t>
      </w:r>
    </w:p>
    <w:p w14:paraId="6BE5EC86" w14:textId="77777777" w:rsidR="00515E34" w:rsidRPr="00660087" w:rsidRDefault="00515E34" w:rsidP="000E6CA8">
      <w:pPr>
        <w:pStyle w:val="BodyTextIndent"/>
        <w:ind w:left="709" w:firstLine="0"/>
        <w:rPr>
          <w:rFonts w:ascii="Arial" w:hAnsi="Arial" w:cs="Arial"/>
          <w:szCs w:val="24"/>
        </w:rPr>
      </w:pPr>
    </w:p>
    <w:p w14:paraId="6EAFBA07" w14:textId="77777777" w:rsidR="00F72393" w:rsidRPr="00660087" w:rsidRDefault="00E244AE" w:rsidP="00950455">
      <w:pPr>
        <w:pStyle w:val="BodyTextIndent"/>
        <w:ind w:left="709" w:firstLine="0"/>
        <w:rPr>
          <w:rFonts w:ascii="Arial" w:hAnsi="Arial" w:cs="Arial"/>
          <w:szCs w:val="24"/>
        </w:rPr>
      </w:pPr>
      <w:r w:rsidRPr="00660087">
        <w:rPr>
          <w:rFonts w:ascii="Arial" w:hAnsi="Arial" w:cs="Arial"/>
          <w:szCs w:val="24"/>
        </w:rPr>
        <w:t>There has been a small saving in engineering insurance and inspection costs for the year.</w:t>
      </w:r>
    </w:p>
    <w:p w14:paraId="6680875E" w14:textId="77777777" w:rsidR="00D160E3" w:rsidRPr="00660087" w:rsidRDefault="00D160E3" w:rsidP="00D8708E">
      <w:pPr>
        <w:pStyle w:val="BodyTextIndent"/>
        <w:ind w:left="709" w:firstLine="0"/>
        <w:rPr>
          <w:rFonts w:ascii="Arial" w:hAnsi="Arial" w:cs="Arial"/>
          <w:szCs w:val="24"/>
        </w:rPr>
      </w:pPr>
    </w:p>
    <w:p w14:paraId="6BD5FF7B" w14:textId="7DFE9380" w:rsidR="00D8708E" w:rsidRPr="00660087" w:rsidRDefault="00D8708E" w:rsidP="00D8708E">
      <w:pPr>
        <w:pStyle w:val="BodyTextIndent"/>
        <w:ind w:left="720" w:firstLine="0"/>
        <w:rPr>
          <w:rFonts w:ascii="Arial" w:hAnsi="Arial" w:cs="Arial"/>
          <w:szCs w:val="24"/>
        </w:rPr>
      </w:pPr>
      <w:r w:rsidRPr="00660087">
        <w:rPr>
          <w:rFonts w:ascii="Arial" w:hAnsi="Arial" w:cs="Arial"/>
          <w:szCs w:val="24"/>
        </w:rPr>
        <w:t xml:space="preserve">The projected outturn </w:t>
      </w:r>
      <w:r w:rsidR="00DC3415" w:rsidRPr="00660087">
        <w:rPr>
          <w:rFonts w:ascii="Arial" w:hAnsi="Arial" w:cs="Arial"/>
          <w:szCs w:val="24"/>
        </w:rPr>
        <w:t xml:space="preserve">has been </w:t>
      </w:r>
      <w:r w:rsidR="007E3E72" w:rsidRPr="00660087">
        <w:rPr>
          <w:rFonts w:ascii="Arial" w:hAnsi="Arial" w:cs="Arial"/>
          <w:szCs w:val="24"/>
        </w:rPr>
        <w:t>in</w:t>
      </w:r>
      <w:r w:rsidR="00DC3415" w:rsidRPr="00660087">
        <w:rPr>
          <w:rFonts w:ascii="Arial" w:hAnsi="Arial" w:cs="Arial"/>
          <w:szCs w:val="24"/>
        </w:rPr>
        <w:t>creased to £</w:t>
      </w:r>
      <w:r w:rsidR="00660087" w:rsidRPr="00660087">
        <w:rPr>
          <w:rFonts w:ascii="Arial" w:hAnsi="Arial" w:cs="Arial"/>
          <w:szCs w:val="24"/>
        </w:rPr>
        <w:t>301,797</w:t>
      </w:r>
      <w:r w:rsidR="007E3E72" w:rsidRPr="00660087">
        <w:rPr>
          <w:rFonts w:ascii="Arial" w:hAnsi="Arial" w:cs="Arial"/>
          <w:szCs w:val="24"/>
        </w:rPr>
        <w:t xml:space="preserve"> </w:t>
      </w:r>
      <w:r w:rsidR="00DC3415" w:rsidRPr="00660087">
        <w:rPr>
          <w:rFonts w:ascii="Arial" w:hAnsi="Arial" w:cs="Arial"/>
          <w:szCs w:val="24"/>
        </w:rPr>
        <w:t xml:space="preserve">to reflect </w:t>
      </w:r>
      <w:r w:rsidR="007E3E72" w:rsidRPr="00660087">
        <w:rPr>
          <w:rFonts w:ascii="Arial" w:hAnsi="Arial" w:cs="Arial"/>
          <w:szCs w:val="24"/>
        </w:rPr>
        <w:t>increased bulk uplifts.</w:t>
      </w:r>
    </w:p>
    <w:p w14:paraId="0BB705D3" w14:textId="501B951E" w:rsidR="00D8708E" w:rsidRPr="00660087" w:rsidRDefault="00D8708E" w:rsidP="00D8708E">
      <w:pPr>
        <w:pStyle w:val="BodyTextIndent"/>
        <w:ind w:left="720" w:firstLine="0"/>
        <w:rPr>
          <w:rFonts w:ascii="Arial" w:hAnsi="Arial" w:cs="Arial"/>
          <w:szCs w:val="24"/>
        </w:rPr>
      </w:pPr>
      <w:r w:rsidRPr="00660087">
        <w:rPr>
          <w:rFonts w:ascii="Arial" w:hAnsi="Arial" w:cs="Arial"/>
          <w:szCs w:val="24"/>
        </w:rPr>
        <w:t>Appendix 2 Line 13</w:t>
      </w:r>
    </w:p>
    <w:p w14:paraId="7BAFF289" w14:textId="2BADC45E" w:rsidR="00652A73" w:rsidRPr="0081661C" w:rsidRDefault="0081661C" w:rsidP="0081661C">
      <w:pPr>
        <w:rPr>
          <w:rFonts w:ascii="Arial" w:hAnsi="Arial" w:cs="Arial"/>
          <w:sz w:val="24"/>
          <w:szCs w:val="24"/>
          <w:u w:val="single"/>
        </w:rPr>
      </w:pPr>
      <w:r w:rsidRPr="0081661C">
        <w:rPr>
          <w:rFonts w:ascii="Arial" w:hAnsi="Arial" w:cs="Arial"/>
          <w:sz w:val="24"/>
          <w:szCs w:val="24"/>
        </w:rPr>
        <w:lastRenderedPageBreak/>
        <w:t>4</w:t>
      </w:r>
      <w:r w:rsidR="005117F3" w:rsidRPr="0081661C">
        <w:rPr>
          <w:rFonts w:ascii="Arial" w:hAnsi="Arial" w:cs="Arial"/>
          <w:sz w:val="24"/>
          <w:szCs w:val="24"/>
        </w:rPr>
        <w:t>.</w:t>
      </w:r>
      <w:r w:rsidR="0096397C" w:rsidRPr="0081661C">
        <w:rPr>
          <w:rFonts w:ascii="Arial" w:hAnsi="Arial" w:cs="Arial"/>
          <w:sz w:val="24"/>
          <w:szCs w:val="24"/>
        </w:rPr>
        <w:t>1</w:t>
      </w:r>
      <w:r w:rsidR="0034648B">
        <w:rPr>
          <w:rFonts w:ascii="Arial" w:hAnsi="Arial" w:cs="Arial"/>
          <w:sz w:val="24"/>
          <w:szCs w:val="24"/>
        </w:rPr>
        <w:t>2</w:t>
      </w:r>
      <w:r w:rsidR="00C45AA7" w:rsidRPr="0081661C">
        <w:rPr>
          <w:rFonts w:ascii="Arial" w:hAnsi="Arial" w:cs="Arial"/>
          <w:sz w:val="24"/>
          <w:szCs w:val="24"/>
        </w:rPr>
        <w:tab/>
      </w:r>
      <w:r w:rsidR="00652A73" w:rsidRPr="0081661C">
        <w:rPr>
          <w:rFonts w:ascii="Arial" w:hAnsi="Arial" w:cs="Arial"/>
          <w:sz w:val="24"/>
          <w:szCs w:val="24"/>
          <w:u w:val="single"/>
        </w:rPr>
        <w:t>Planned Maintenance</w:t>
      </w:r>
    </w:p>
    <w:p w14:paraId="27F86A7B" w14:textId="28949FB3" w:rsidR="00FD6F96" w:rsidRPr="0081661C" w:rsidRDefault="00082D78" w:rsidP="00430EAF">
      <w:pPr>
        <w:pStyle w:val="BodyTextIndent"/>
        <w:ind w:left="720" w:firstLine="0"/>
        <w:rPr>
          <w:rFonts w:ascii="Arial" w:hAnsi="Arial" w:cs="Arial"/>
          <w:szCs w:val="24"/>
        </w:rPr>
      </w:pPr>
      <w:r w:rsidRPr="0081661C">
        <w:rPr>
          <w:rFonts w:ascii="Arial" w:hAnsi="Arial" w:cs="Arial"/>
          <w:szCs w:val="24"/>
        </w:rPr>
        <w:t xml:space="preserve">Planned maintenance is </w:t>
      </w:r>
      <w:r w:rsidR="009F4ABC" w:rsidRPr="0081661C">
        <w:rPr>
          <w:rFonts w:ascii="Arial" w:hAnsi="Arial" w:cs="Arial"/>
          <w:szCs w:val="24"/>
        </w:rPr>
        <w:t xml:space="preserve">under </w:t>
      </w:r>
      <w:r w:rsidR="00D61FE6" w:rsidRPr="0081661C">
        <w:rPr>
          <w:rFonts w:ascii="Arial" w:hAnsi="Arial" w:cs="Arial"/>
          <w:szCs w:val="24"/>
        </w:rPr>
        <w:t>budget for the year</w:t>
      </w:r>
      <w:r w:rsidRPr="0081661C">
        <w:rPr>
          <w:rFonts w:ascii="Arial" w:hAnsi="Arial" w:cs="Arial"/>
          <w:szCs w:val="24"/>
        </w:rPr>
        <w:t xml:space="preserve"> by </w:t>
      </w:r>
      <w:r w:rsidR="00351946" w:rsidRPr="0081661C">
        <w:rPr>
          <w:rFonts w:ascii="Arial" w:hAnsi="Arial" w:cs="Arial"/>
          <w:szCs w:val="24"/>
        </w:rPr>
        <w:t>£</w:t>
      </w:r>
      <w:r w:rsidR="00E86FB3" w:rsidRPr="0081661C">
        <w:rPr>
          <w:rFonts w:ascii="Arial" w:hAnsi="Arial" w:cs="Arial"/>
          <w:szCs w:val="24"/>
        </w:rPr>
        <w:t>31,676</w:t>
      </w:r>
      <w:r w:rsidR="00351946" w:rsidRPr="0081661C">
        <w:rPr>
          <w:rFonts w:ascii="Arial" w:hAnsi="Arial" w:cs="Arial"/>
          <w:szCs w:val="24"/>
        </w:rPr>
        <w:t>.</w:t>
      </w:r>
      <w:r w:rsidR="009F4ABC" w:rsidRPr="0081661C">
        <w:rPr>
          <w:rFonts w:ascii="Arial" w:hAnsi="Arial" w:cs="Arial"/>
          <w:szCs w:val="24"/>
        </w:rPr>
        <w:t xml:space="preserve">  </w:t>
      </w:r>
    </w:p>
    <w:p w14:paraId="0019BC24" w14:textId="77777777" w:rsidR="00FD6F96" w:rsidRPr="0081661C" w:rsidRDefault="00FD6F96" w:rsidP="00082D78">
      <w:pPr>
        <w:pStyle w:val="BodyTextIndent"/>
        <w:ind w:left="720" w:firstLine="0"/>
        <w:rPr>
          <w:rFonts w:ascii="Arial" w:hAnsi="Arial" w:cs="Arial"/>
          <w:szCs w:val="24"/>
        </w:rPr>
      </w:pPr>
    </w:p>
    <w:p w14:paraId="7653612E" w14:textId="747A7E81" w:rsidR="00E244AE" w:rsidRPr="0081661C" w:rsidRDefault="00DB1270" w:rsidP="00E244AE">
      <w:pPr>
        <w:pStyle w:val="BodyTextIndent"/>
        <w:ind w:left="720" w:firstLine="0"/>
        <w:rPr>
          <w:rFonts w:ascii="Arial" w:hAnsi="Arial" w:cs="Arial"/>
          <w:szCs w:val="24"/>
        </w:rPr>
      </w:pPr>
      <w:r w:rsidRPr="0081661C">
        <w:rPr>
          <w:rFonts w:ascii="Arial" w:hAnsi="Arial" w:cs="Arial"/>
          <w:szCs w:val="24"/>
        </w:rPr>
        <w:t>This is</w:t>
      </w:r>
      <w:r w:rsidR="00E86FB3" w:rsidRPr="0081661C">
        <w:rPr>
          <w:rFonts w:ascii="Arial" w:hAnsi="Arial" w:cs="Arial"/>
          <w:szCs w:val="24"/>
        </w:rPr>
        <w:t xml:space="preserve"> mainly</w:t>
      </w:r>
      <w:r w:rsidRPr="0081661C">
        <w:rPr>
          <w:rFonts w:ascii="Arial" w:hAnsi="Arial" w:cs="Arial"/>
          <w:szCs w:val="24"/>
        </w:rPr>
        <w:t xml:space="preserve"> due to </w:t>
      </w:r>
      <w:r w:rsidR="00733031" w:rsidRPr="0081661C">
        <w:rPr>
          <w:rFonts w:ascii="Arial" w:hAnsi="Arial" w:cs="Arial"/>
          <w:szCs w:val="24"/>
        </w:rPr>
        <w:t xml:space="preserve">the spend profile for </w:t>
      </w:r>
      <w:r w:rsidRPr="0081661C">
        <w:rPr>
          <w:rFonts w:ascii="Arial" w:hAnsi="Arial" w:cs="Arial"/>
          <w:szCs w:val="24"/>
        </w:rPr>
        <w:t>stage 3 adaptations</w:t>
      </w:r>
      <w:r w:rsidR="002F69F8" w:rsidRPr="0081661C">
        <w:rPr>
          <w:rFonts w:ascii="Arial" w:hAnsi="Arial" w:cs="Arial"/>
          <w:szCs w:val="24"/>
        </w:rPr>
        <w:t xml:space="preserve">, the </w:t>
      </w:r>
      <w:r w:rsidR="00733031" w:rsidRPr="0081661C">
        <w:rPr>
          <w:rFonts w:ascii="Arial" w:hAnsi="Arial" w:cs="Arial"/>
          <w:szCs w:val="24"/>
        </w:rPr>
        <w:t>budget to date being linear however</w:t>
      </w:r>
      <w:r w:rsidR="00660087" w:rsidRPr="0081661C">
        <w:rPr>
          <w:rFonts w:ascii="Arial" w:hAnsi="Arial" w:cs="Arial"/>
          <w:szCs w:val="24"/>
        </w:rPr>
        <w:t>,</w:t>
      </w:r>
      <w:r w:rsidR="00733031" w:rsidRPr="0081661C">
        <w:rPr>
          <w:rFonts w:ascii="Arial" w:hAnsi="Arial" w:cs="Arial"/>
          <w:szCs w:val="24"/>
        </w:rPr>
        <w:t xml:space="preserve"> the spend is weighted to the end of the year due to the </w:t>
      </w:r>
      <w:r w:rsidR="00E244AE" w:rsidRPr="0081661C">
        <w:rPr>
          <w:rFonts w:ascii="Arial" w:hAnsi="Arial" w:cs="Arial"/>
          <w:szCs w:val="24"/>
        </w:rPr>
        <w:t xml:space="preserve">requirement for adaptions to the stock </w:t>
      </w:r>
      <w:r w:rsidR="002F69F8" w:rsidRPr="0081661C">
        <w:rPr>
          <w:rFonts w:ascii="Arial" w:hAnsi="Arial" w:cs="Arial"/>
          <w:szCs w:val="24"/>
        </w:rPr>
        <w:t>that has just come off site</w:t>
      </w:r>
      <w:r w:rsidR="00733031" w:rsidRPr="0081661C">
        <w:rPr>
          <w:rFonts w:ascii="Arial" w:hAnsi="Arial" w:cs="Arial"/>
          <w:szCs w:val="24"/>
        </w:rPr>
        <w:t>.</w:t>
      </w:r>
      <w:r w:rsidR="00F06E7A" w:rsidRPr="0081661C">
        <w:rPr>
          <w:rFonts w:ascii="Arial" w:hAnsi="Arial" w:cs="Arial"/>
          <w:szCs w:val="24"/>
        </w:rPr>
        <w:t xml:space="preserve"> </w:t>
      </w:r>
      <w:r w:rsidR="00660087" w:rsidRPr="0081661C">
        <w:rPr>
          <w:rFonts w:ascii="Arial" w:hAnsi="Arial" w:cs="Arial"/>
          <w:szCs w:val="24"/>
        </w:rPr>
        <w:t>We forecast that this will</w:t>
      </w:r>
      <w:r w:rsidR="00F06E7A" w:rsidRPr="0081661C">
        <w:rPr>
          <w:rFonts w:ascii="Arial" w:hAnsi="Arial" w:cs="Arial"/>
          <w:szCs w:val="24"/>
        </w:rPr>
        <w:t xml:space="preserve"> be fully spent in the year.</w:t>
      </w:r>
    </w:p>
    <w:p w14:paraId="6CEDD22D" w14:textId="77777777" w:rsidR="00E86FB3" w:rsidRPr="0081661C" w:rsidRDefault="00E86FB3" w:rsidP="00E244AE">
      <w:pPr>
        <w:pStyle w:val="BodyTextIndent"/>
        <w:ind w:left="720" w:firstLine="0"/>
        <w:rPr>
          <w:rFonts w:ascii="Arial" w:hAnsi="Arial" w:cs="Arial"/>
          <w:szCs w:val="24"/>
        </w:rPr>
      </w:pPr>
    </w:p>
    <w:p w14:paraId="77C41313" w14:textId="4FDBFB60" w:rsidR="00DB1270" w:rsidRPr="0081661C" w:rsidRDefault="00DB1270" w:rsidP="00DB1270">
      <w:pPr>
        <w:pStyle w:val="BodyTextIndent"/>
        <w:ind w:left="720" w:firstLine="0"/>
        <w:rPr>
          <w:rFonts w:ascii="Arial" w:hAnsi="Arial" w:cs="Arial"/>
          <w:szCs w:val="24"/>
        </w:rPr>
      </w:pPr>
      <w:r w:rsidRPr="0081661C">
        <w:rPr>
          <w:rFonts w:ascii="Arial" w:hAnsi="Arial" w:cs="Arial"/>
          <w:szCs w:val="24"/>
        </w:rPr>
        <w:t>The projected outturn for the Stage 3 adaptation expenditure has been increased in line with the award, item 4.6, as this is offset by the grant income.</w:t>
      </w:r>
    </w:p>
    <w:p w14:paraId="381CC700" w14:textId="77777777" w:rsidR="00E244AE" w:rsidRPr="0081661C" w:rsidRDefault="00E244AE" w:rsidP="00E244AE">
      <w:pPr>
        <w:pStyle w:val="BodyTextIndent"/>
        <w:ind w:left="720" w:firstLine="0"/>
        <w:rPr>
          <w:rFonts w:ascii="Arial" w:hAnsi="Arial" w:cs="Arial"/>
          <w:szCs w:val="24"/>
        </w:rPr>
      </w:pPr>
    </w:p>
    <w:p w14:paraId="05C3C3F8" w14:textId="20BBB9BD" w:rsidR="00733031" w:rsidRPr="0081661C" w:rsidRDefault="00660087" w:rsidP="00E244AE">
      <w:pPr>
        <w:pStyle w:val="BodyTextIndent"/>
        <w:ind w:left="720" w:firstLine="0"/>
        <w:rPr>
          <w:rFonts w:ascii="Arial" w:hAnsi="Arial" w:cs="Arial"/>
          <w:szCs w:val="24"/>
        </w:rPr>
      </w:pPr>
      <w:r w:rsidRPr="0081661C">
        <w:rPr>
          <w:rFonts w:ascii="Arial" w:hAnsi="Arial" w:cs="Arial"/>
          <w:szCs w:val="24"/>
        </w:rPr>
        <w:t xml:space="preserve">The projects for Drainage works at Mannering Road and Magnalocks have been </w:t>
      </w:r>
      <w:r w:rsidR="00F06E7A" w:rsidRPr="0081661C">
        <w:rPr>
          <w:rFonts w:ascii="Arial" w:hAnsi="Arial" w:cs="Arial"/>
          <w:szCs w:val="24"/>
        </w:rPr>
        <w:t>carri</w:t>
      </w:r>
      <w:r w:rsidRPr="0081661C">
        <w:rPr>
          <w:rFonts w:ascii="Arial" w:hAnsi="Arial" w:cs="Arial"/>
          <w:szCs w:val="24"/>
        </w:rPr>
        <w:t>e</w:t>
      </w:r>
      <w:r w:rsidR="00F06E7A" w:rsidRPr="0081661C">
        <w:rPr>
          <w:rFonts w:ascii="Arial" w:hAnsi="Arial" w:cs="Arial"/>
          <w:szCs w:val="24"/>
        </w:rPr>
        <w:t xml:space="preserve">d forward from 2020/21 </w:t>
      </w:r>
      <w:r w:rsidRPr="0081661C">
        <w:rPr>
          <w:rFonts w:ascii="Arial" w:hAnsi="Arial" w:cs="Arial"/>
          <w:szCs w:val="24"/>
        </w:rPr>
        <w:t xml:space="preserve">and </w:t>
      </w:r>
      <w:r w:rsidR="00DF6E7B">
        <w:rPr>
          <w:rFonts w:ascii="Arial" w:hAnsi="Arial" w:cs="Arial"/>
          <w:szCs w:val="24"/>
        </w:rPr>
        <w:t>will be</w:t>
      </w:r>
      <w:r w:rsidRPr="0081661C">
        <w:rPr>
          <w:rFonts w:ascii="Arial" w:hAnsi="Arial" w:cs="Arial"/>
          <w:szCs w:val="24"/>
        </w:rPr>
        <w:t xml:space="preserve"> </w:t>
      </w:r>
      <w:r w:rsidR="00DF6E7B">
        <w:rPr>
          <w:rFonts w:ascii="Arial" w:hAnsi="Arial" w:cs="Arial"/>
          <w:szCs w:val="24"/>
        </w:rPr>
        <w:t>competed in Quarter 4.</w:t>
      </w:r>
    </w:p>
    <w:p w14:paraId="4241C4AE" w14:textId="77777777" w:rsidR="00733031" w:rsidRPr="0081661C" w:rsidRDefault="00733031" w:rsidP="00E244AE">
      <w:pPr>
        <w:pStyle w:val="BodyTextIndent"/>
        <w:ind w:left="720" w:firstLine="0"/>
        <w:rPr>
          <w:rFonts w:ascii="Arial" w:hAnsi="Arial" w:cs="Arial"/>
          <w:szCs w:val="24"/>
        </w:rPr>
      </w:pPr>
    </w:p>
    <w:p w14:paraId="430B11A8" w14:textId="2DA81A63" w:rsidR="00082D78" w:rsidRPr="0081661C" w:rsidRDefault="001861B3" w:rsidP="00082D78">
      <w:pPr>
        <w:pStyle w:val="BodyTextIndent"/>
        <w:ind w:left="720" w:firstLine="0"/>
        <w:rPr>
          <w:rFonts w:ascii="Arial" w:hAnsi="Arial" w:cs="Arial"/>
          <w:szCs w:val="24"/>
        </w:rPr>
      </w:pPr>
      <w:r w:rsidRPr="0081661C">
        <w:rPr>
          <w:rFonts w:ascii="Arial" w:hAnsi="Arial" w:cs="Arial"/>
          <w:szCs w:val="24"/>
        </w:rPr>
        <w:t>The projected outturn</w:t>
      </w:r>
      <w:r w:rsidR="00664E7B" w:rsidRPr="0081661C">
        <w:rPr>
          <w:rFonts w:ascii="Arial" w:hAnsi="Arial" w:cs="Arial"/>
          <w:szCs w:val="24"/>
        </w:rPr>
        <w:t xml:space="preserve"> </w:t>
      </w:r>
      <w:r w:rsidR="00B35521" w:rsidRPr="0081661C">
        <w:rPr>
          <w:rFonts w:ascii="Arial" w:hAnsi="Arial" w:cs="Arial"/>
          <w:szCs w:val="24"/>
        </w:rPr>
        <w:t xml:space="preserve">has </w:t>
      </w:r>
      <w:r w:rsidR="00DB1270" w:rsidRPr="0081661C">
        <w:rPr>
          <w:rFonts w:ascii="Arial" w:hAnsi="Arial" w:cs="Arial"/>
          <w:szCs w:val="24"/>
        </w:rPr>
        <w:t>been increased to £</w:t>
      </w:r>
      <w:r w:rsidR="00660087" w:rsidRPr="0081661C">
        <w:rPr>
          <w:rFonts w:ascii="Arial" w:hAnsi="Arial" w:cs="Arial"/>
          <w:szCs w:val="24"/>
        </w:rPr>
        <w:t>248,590 to reflect this.</w:t>
      </w:r>
      <w:r w:rsidR="00E244AE" w:rsidRPr="0081661C">
        <w:rPr>
          <w:rFonts w:ascii="Arial" w:hAnsi="Arial" w:cs="Arial"/>
          <w:szCs w:val="24"/>
        </w:rPr>
        <w:t>.</w:t>
      </w:r>
    </w:p>
    <w:p w14:paraId="1AB13EE3" w14:textId="4D34788A" w:rsidR="00082D78" w:rsidRPr="0081661C" w:rsidRDefault="00082D78" w:rsidP="00082D78">
      <w:pPr>
        <w:pStyle w:val="BodyTextIndent"/>
        <w:ind w:left="720" w:firstLine="0"/>
        <w:rPr>
          <w:rFonts w:ascii="Arial" w:hAnsi="Arial" w:cs="Arial"/>
          <w:szCs w:val="24"/>
        </w:rPr>
      </w:pPr>
      <w:r w:rsidRPr="0081661C">
        <w:rPr>
          <w:rFonts w:ascii="Arial" w:hAnsi="Arial" w:cs="Arial"/>
          <w:szCs w:val="24"/>
        </w:rPr>
        <w:t>Append</w:t>
      </w:r>
      <w:r w:rsidR="00981518" w:rsidRPr="0081661C">
        <w:rPr>
          <w:rFonts w:ascii="Arial" w:hAnsi="Arial" w:cs="Arial"/>
          <w:szCs w:val="24"/>
        </w:rPr>
        <w:t>ix 2 Line 16</w:t>
      </w:r>
    </w:p>
    <w:p w14:paraId="1CC650AD" w14:textId="77777777" w:rsidR="00EA4F99" w:rsidRPr="0081661C" w:rsidRDefault="00EA4F99" w:rsidP="00082D78">
      <w:pPr>
        <w:pStyle w:val="BodyTextIndent"/>
        <w:ind w:left="720" w:firstLine="0"/>
        <w:rPr>
          <w:rFonts w:ascii="Arial" w:hAnsi="Arial" w:cs="Arial"/>
          <w:szCs w:val="24"/>
        </w:rPr>
      </w:pPr>
    </w:p>
    <w:p w14:paraId="7F11B7E3" w14:textId="77777777" w:rsidR="003A4FAC" w:rsidRPr="0081661C" w:rsidRDefault="003A4FAC" w:rsidP="00082D78">
      <w:pPr>
        <w:pStyle w:val="BodyTextIndent"/>
        <w:ind w:left="720" w:firstLine="0"/>
        <w:rPr>
          <w:rFonts w:ascii="Arial" w:hAnsi="Arial" w:cs="Arial"/>
          <w:szCs w:val="24"/>
        </w:rPr>
      </w:pPr>
    </w:p>
    <w:p w14:paraId="65C884C3" w14:textId="446D5486" w:rsidR="00FE329C" w:rsidRPr="0099699C" w:rsidRDefault="005117F3" w:rsidP="00C45AA7">
      <w:pPr>
        <w:pStyle w:val="BodyTextIndent"/>
        <w:rPr>
          <w:rFonts w:ascii="Arial" w:hAnsi="Arial" w:cs="Arial"/>
          <w:szCs w:val="24"/>
          <w:u w:val="single"/>
        </w:rPr>
      </w:pPr>
      <w:r w:rsidRPr="0099699C">
        <w:rPr>
          <w:rFonts w:ascii="Arial" w:hAnsi="Arial" w:cs="Arial"/>
          <w:szCs w:val="24"/>
        </w:rPr>
        <w:t>4.</w:t>
      </w:r>
      <w:r w:rsidR="0096397C" w:rsidRPr="0099699C">
        <w:rPr>
          <w:rFonts w:ascii="Arial" w:hAnsi="Arial" w:cs="Arial"/>
          <w:szCs w:val="24"/>
        </w:rPr>
        <w:t>1</w:t>
      </w:r>
      <w:r w:rsidR="0034648B">
        <w:rPr>
          <w:rFonts w:ascii="Arial" w:hAnsi="Arial" w:cs="Arial"/>
          <w:szCs w:val="24"/>
        </w:rPr>
        <w:t>3</w:t>
      </w:r>
      <w:r w:rsidR="00C45AA7" w:rsidRPr="0099699C">
        <w:rPr>
          <w:rFonts w:ascii="Arial" w:hAnsi="Arial" w:cs="Arial"/>
          <w:szCs w:val="24"/>
        </w:rPr>
        <w:tab/>
      </w:r>
      <w:r w:rsidR="00C45AA7" w:rsidRPr="0099699C">
        <w:rPr>
          <w:rFonts w:ascii="Arial" w:hAnsi="Arial" w:cs="Arial"/>
          <w:szCs w:val="24"/>
        </w:rPr>
        <w:tab/>
      </w:r>
      <w:r w:rsidR="00FE329C" w:rsidRPr="0099699C">
        <w:rPr>
          <w:rFonts w:ascii="Arial" w:hAnsi="Arial" w:cs="Arial"/>
          <w:szCs w:val="24"/>
          <w:u w:val="single"/>
        </w:rPr>
        <w:t>Environmental Project</w:t>
      </w:r>
    </w:p>
    <w:p w14:paraId="589A0C13" w14:textId="64D03D1D" w:rsidR="00CD0156" w:rsidRPr="0099699C" w:rsidRDefault="009A63DD" w:rsidP="007F02A2">
      <w:pPr>
        <w:pStyle w:val="BodyTextIndent"/>
        <w:tabs>
          <w:tab w:val="num" w:pos="1004"/>
        </w:tabs>
        <w:ind w:left="720" w:firstLine="0"/>
        <w:rPr>
          <w:rFonts w:ascii="Arial" w:hAnsi="Arial" w:cs="Arial"/>
          <w:szCs w:val="24"/>
        </w:rPr>
      </w:pPr>
      <w:r w:rsidRPr="0099699C">
        <w:rPr>
          <w:rFonts w:ascii="Arial" w:hAnsi="Arial" w:cs="Arial"/>
          <w:szCs w:val="24"/>
        </w:rPr>
        <w:t xml:space="preserve">No work on the environmental contract has been </w:t>
      </w:r>
      <w:r w:rsidR="000852A8" w:rsidRPr="0099699C">
        <w:rPr>
          <w:rFonts w:ascii="Arial" w:hAnsi="Arial" w:cs="Arial"/>
          <w:szCs w:val="24"/>
        </w:rPr>
        <w:t xml:space="preserve">undertaken </w:t>
      </w:r>
      <w:r w:rsidR="00733031" w:rsidRPr="0099699C">
        <w:rPr>
          <w:rFonts w:ascii="Arial" w:hAnsi="Arial" w:cs="Arial"/>
          <w:szCs w:val="24"/>
        </w:rPr>
        <w:t>to date</w:t>
      </w:r>
      <w:r w:rsidR="000852A8" w:rsidRPr="0099699C">
        <w:rPr>
          <w:rFonts w:ascii="Arial" w:hAnsi="Arial" w:cs="Arial"/>
          <w:szCs w:val="24"/>
        </w:rPr>
        <w:t>.</w:t>
      </w:r>
      <w:r w:rsidR="000B1049" w:rsidRPr="0099699C">
        <w:rPr>
          <w:rFonts w:ascii="Arial" w:hAnsi="Arial" w:cs="Arial"/>
          <w:szCs w:val="24"/>
        </w:rPr>
        <w:t xml:space="preserve"> We are still anticipating being able to </w:t>
      </w:r>
      <w:r w:rsidR="00F06E7A" w:rsidRPr="0099699C">
        <w:rPr>
          <w:rFonts w:ascii="Arial" w:hAnsi="Arial" w:cs="Arial"/>
          <w:szCs w:val="24"/>
        </w:rPr>
        <w:t xml:space="preserve">do some small </w:t>
      </w:r>
      <w:r w:rsidR="00DF6E7B" w:rsidRPr="0099699C">
        <w:rPr>
          <w:rFonts w:ascii="Arial" w:hAnsi="Arial" w:cs="Arial"/>
          <w:szCs w:val="24"/>
        </w:rPr>
        <w:t>pieces</w:t>
      </w:r>
      <w:r w:rsidR="00F06E7A" w:rsidRPr="0099699C">
        <w:rPr>
          <w:rFonts w:ascii="Arial" w:hAnsi="Arial" w:cs="Arial"/>
          <w:szCs w:val="24"/>
        </w:rPr>
        <w:t xml:space="preserve"> of work in the last quarter.</w:t>
      </w:r>
    </w:p>
    <w:p w14:paraId="28CE0993" w14:textId="77777777" w:rsidR="00CD0156" w:rsidRPr="0099699C" w:rsidRDefault="00CD0156" w:rsidP="00FE329C">
      <w:pPr>
        <w:pStyle w:val="BodyTextIndent"/>
        <w:tabs>
          <w:tab w:val="num" w:pos="1004"/>
        </w:tabs>
        <w:ind w:left="720" w:firstLine="0"/>
        <w:rPr>
          <w:rFonts w:ascii="Arial" w:hAnsi="Arial" w:cs="Arial"/>
          <w:szCs w:val="24"/>
        </w:rPr>
      </w:pPr>
    </w:p>
    <w:p w14:paraId="0352099F" w14:textId="01699C97" w:rsidR="00664E7B" w:rsidRPr="0099699C" w:rsidRDefault="008D6638" w:rsidP="00FE329C">
      <w:pPr>
        <w:pStyle w:val="BodyTextIndent"/>
        <w:tabs>
          <w:tab w:val="num" w:pos="1004"/>
        </w:tabs>
        <w:ind w:left="720" w:firstLine="0"/>
        <w:rPr>
          <w:rFonts w:ascii="Arial" w:hAnsi="Arial" w:cs="Arial"/>
          <w:szCs w:val="24"/>
        </w:rPr>
      </w:pPr>
      <w:r w:rsidRPr="0099699C">
        <w:rPr>
          <w:rFonts w:ascii="Arial" w:hAnsi="Arial" w:cs="Arial"/>
          <w:szCs w:val="24"/>
        </w:rPr>
        <w:t>The projected outturn</w:t>
      </w:r>
      <w:r w:rsidR="00664E7B" w:rsidRPr="0099699C">
        <w:rPr>
          <w:rFonts w:ascii="Arial" w:hAnsi="Arial" w:cs="Arial"/>
          <w:szCs w:val="24"/>
        </w:rPr>
        <w:t xml:space="preserve"> </w:t>
      </w:r>
      <w:r w:rsidR="00377C46" w:rsidRPr="0099699C">
        <w:rPr>
          <w:rFonts w:ascii="Arial" w:hAnsi="Arial" w:cs="Arial"/>
          <w:szCs w:val="24"/>
        </w:rPr>
        <w:t xml:space="preserve">has </w:t>
      </w:r>
      <w:r w:rsidR="000852A8" w:rsidRPr="0099699C">
        <w:rPr>
          <w:rFonts w:ascii="Arial" w:hAnsi="Arial" w:cs="Arial"/>
          <w:szCs w:val="24"/>
        </w:rPr>
        <w:t xml:space="preserve">not </w:t>
      </w:r>
      <w:r w:rsidR="00377C46" w:rsidRPr="0099699C">
        <w:rPr>
          <w:rFonts w:ascii="Arial" w:hAnsi="Arial" w:cs="Arial"/>
          <w:szCs w:val="24"/>
        </w:rPr>
        <w:t xml:space="preserve">been </w:t>
      </w:r>
      <w:r w:rsidR="00733031" w:rsidRPr="0099699C">
        <w:rPr>
          <w:rFonts w:ascii="Arial" w:hAnsi="Arial" w:cs="Arial"/>
          <w:szCs w:val="24"/>
        </w:rPr>
        <w:t>reduced to £61,800 to reflect this.</w:t>
      </w:r>
      <w:r w:rsidR="00377C46" w:rsidRPr="0099699C">
        <w:rPr>
          <w:rFonts w:ascii="Arial" w:hAnsi="Arial" w:cs="Arial"/>
          <w:szCs w:val="24"/>
        </w:rPr>
        <w:t xml:space="preserve"> </w:t>
      </w:r>
    </w:p>
    <w:p w14:paraId="7D47DB98" w14:textId="71011B66" w:rsidR="007F02A2" w:rsidRPr="0099699C" w:rsidRDefault="008D6638" w:rsidP="00754FE5">
      <w:pPr>
        <w:pStyle w:val="BodyTextIndent"/>
        <w:ind w:left="720" w:firstLine="0"/>
        <w:rPr>
          <w:rFonts w:ascii="Arial" w:hAnsi="Arial" w:cs="Arial"/>
          <w:szCs w:val="24"/>
        </w:rPr>
      </w:pPr>
      <w:r w:rsidRPr="0099699C">
        <w:rPr>
          <w:rFonts w:ascii="Arial" w:hAnsi="Arial" w:cs="Arial"/>
          <w:szCs w:val="24"/>
        </w:rPr>
        <w:t xml:space="preserve">Appendix 2 Line </w:t>
      </w:r>
      <w:r w:rsidR="00C11ADB" w:rsidRPr="0099699C">
        <w:rPr>
          <w:rFonts w:ascii="Arial" w:hAnsi="Arial" w:cs="Arial"/>
          <w:szCs w:val="24"/>
        </w:rPr>
        <w:t>17</w:t>
      </w:r>
    </w:p>
    <w:p w14:paraId="48C05753" w14:textId="77777777" w:rsidR="007F02A2" w:rsidRPr="0099699C" w:rsidRDefault="007F02A2" w:rsidP="007F02A2">
      <w:pPr>
        <w:pStyle w:val="BodyTextIndent"/>
        <w:ind w:left="720" w:firstLine="0"/>
        <w:rPr>
          <w:rFonts w:ascii="Arial" w:hAnsi="Arial" w:cs="Arial"/>
          <w:szCs w:val="24"/>
        </w:rPr>
      </w:pPr>
    </w:p>
    <w:p w14:paraId="15E2D45C" w14:textId="77777777" w:rsidR="007F02A2" w:rsidRPr="0099699C" w:rsidRDefault="007F02A2" w:rsidP="007F02A2">
      <w:pPr>
        <w:pStyle w:val="BodyTextIndent"/>
        <w:ind w:left="720" w:firstLine="0"/>
        <w:rPr>
          <w:rFonts w:ascii="Arial" w:hAnsi="Arial" w:cs="Arial"/>
          <w:szCs w:val="24"/>
        </w:rPr>
      </w:pPr>
    </w:p>
    <w:p w14:paraId="39F992A8" w14:textId="73F8E47F" w:rsidR="00AA5A1C" w:rsidRPr="0099699C" w:rsidRDefault="000852A8" w:rsidP="000852A8">
      <w:pPr>
        <w:pStyle w:val="BodyTextIndent"/>
        <w:ind w:left="0" w:firstLine="0"/>
        <w:rPr>
          <w:rFonts w:ascii="Arial" w:hAnsi="Arial" w:cs="Arial"/>
          <w:szCs w:val="24"/>
        </w:rPr>
      </w:pPr>
      <w:r w:rsidRPr="0099699C">
        <w:rPr>
          <w:rFonts w:ascii="Arial" w:hAnsi="Arial" w:cs="Arial"/>
          <w:szCs w:val="24"/>
        </w:rPr>
        <w:t>4.1</w:t>
      </w:r>
      <w:r w:rsidR="0034648B">
        <w:rPr>
          <w:rFonts w:ascii="Arial" w:hAnsi="Arial" w:cs="Arial"/>
          <w:szCs w:val="24"/>
        </w:rPr>
        <w:t>4</w:t>
      </w:r>
      <w:r w:rsidRPr="0099699C">
        <w:rPr>
          <w:rFonts w:ascii="Arial" w:hAnsi="Arial" w:cs="Arial"/>
          <w:szCs w:val="24"/>
        </w:rPr>
        <w:tab/>
      </w:r>
      <w:r w:rsidR="00137519" w:rsidRPr="0099699C">
        <w:rPr>
          <w:rFonts w:ascii="Arial" w:hAnsi="Arial" w:cs="Arial"/>
          <w:szCs w:val="24"/>
          <w:u w:val="single"/>
        </w:rPr>
        <w:t>Bad debts</w:t>
      </w:r>
    </w:p>
    <w:p w14:paraId="367C0A94" w14:textId="1ED2D1AA" w:rsidR="000F5B00" w:rsidRPr="0099699C" w:rsidRDefault="00137519" w:rsidP="00137519">
      <w:pPr>
        <w:pStyle w:val="BodyTextIndent"/>
        <w:ind w:left="720" w:firstLine="0"/>
        <w:rPr>
          <w:rFonts w:ascii="Arial" w:hAnsi="Arial" w:cs="Arial"/>
          <w:szCs w:val="24"/>
        </w:rPr>
      </w:pPr>
      <w:r w:rsidRPr="0099699C">
        <w:rPr>
          <w:rFonts w:ascii="Arial" w:hAnsi="Arial" w:cs="Arial"/>
          <w:szCs w:val="24"/>
        </w:rPr>
        <w:t>Bad Debts are lower than budget by £</w:t>
      </w:r>
      <w:r w:rsidR="00733031" w:rsidRPr="0099699C">
        <w:rPr>
          <w:rFonts w:ascii="Arial" w:hAnsi="Arial" w:cs="Arial"/>
          <w:szCs w:val="24"/>
        </w:rPr>
        <w:t>24,631</w:t>
      </w:r>
      <w:r w:rsidR="00EE7FF6" w:rsidRPr="0099699C">
        <w:rPr>
          <w:rFonts w:ascii="Arial" w:hAnsi="Arial" w:cs="Arial"/>
          <w:szCs w:val="24"/>
        </w:rPr>
        <w:t>.</w:t>
      </w:r>
    </w:p>
    <w:p w14:paraId="4FAE978C" w14:textId="77777777" w:rsidR="000F5B00" w:rsidRPr="0099699C" w:rsidRDefault="000F5B00" w:rsidP="00137519">
      <w:pPr>
        <w:pStyle w:val="BodyTextIndent"/>
        <w:ind w:left="720" w:firstLine="0"/>
        <w:rPr>
          <w:rFonts w:ascii="Arial" w:hAnsi="Arial" w:cs="Arial"/>
          <w:szCs w:val="24"/>
        </w:rPr>
      </w:pPr>
    </w:p>
    <w:p w14:paraId="77F8B025" w14:textId="684EC104" w:rsidR="00084FDF" w:rsidRPr="00660087" w:rsidRDefault="00084FDF" w:rsidP="003362D8">
      <w:pPr>
        <w:pStyle w:val="BodyTextIndent"/>
        <w:ind w:left="720" w:firstLine="0"/>
        <w:rPr>
          <w:rFonts w:ascii="Arial" w:hAnsi="Arial" w:cs="Arial"/>
          <w:szCs w:val="24"/>
        </w:rPr>
      </w:pPr>
      <w:r w:rsidRPr="00660087">
        <w:rPr>
          <w:rFonts w:ascii="Arial" w:hAnsi="Arial" w:cs="Arial"/>
          <w:szCs w:val="24"/>
        </w:rPr>
        <w:t>This is due</w:t>
      </w:r>
      <w:r w:rsidR="0065784C" w:rsidRPr="00660087">
        <w:rPr>
          <w:rFonts w:ascii="Arial" w:hAnsi="Arial" w:cs="Arial"/>
          <w:szCs w:val="24"/>
        </w:rPr>
        <w:t xml:space="preserve"> to </w:t>
      </w:r>
      <w:r w:rsidRPr="00660087">
        <w:rPr>
          <w:rFonts w:ascii="Arial" w:hAnsi="Arial" w:cs="Arial"/>
          <w:szCs w:val="24"/>
        </w:rPr>
        <w:t>t</w:t>
      </w:r>
      <w:r w:rsidR="003362D8" w:rsidRPr="00660087">
        <w:rPr>
          <w:rFonts w:ascii="Arial" w:hAnsi="Arial" w:cs="Arial"/>
          <w:szCs w:val="24"/>
        </w:rPr>
        <w:t xml:space="preserve">he majority of </w:t>
      </w:r>
      <w:r w:rsidRPr="00660087">
        <w:rPr>
          <w:rFonts w:ascii="Arial" w:hAnsi="Arial" w:cs="Arial"/>
          <w:szCs w:val="24"/>
        </w:rPr>
        <w:t>t</w:t>
      </w:r>
      <w:r w:rsidR="0065784C" w:rsidRPr="00660087">
        <w:rPr>
          <w:rFonts w:ascii="Arial" w:hAnsi="Arial" w:cs="Arial"/>
          <w:szCs w:val="24"/>
        </w:rPr>
        <w:t>he new</w:t>
      </w:r>
      <w:r w:rsidR="003362D8" w:rsidRPr="00660087">
        <w:rPr>
          <w:rFonts w:ascii="Arial" w:hAnsi="Arial" w:cs="Arial"/>
          <w:szCs w:val="24"/>
        </w:rPr>
        <w:t xml:space="preserve"> arrears</w:t>
      </w:r>
      <w:r w:rsidR="0065784C" w:rsidRPr="00660087">
        <w:rPr>
          <w:rFonts w:ascii="Arial" w:hAnsi="Arial" w:cs="Arial"/>
          <w:szCs w:val="24"/>
        </w:rPr>
        <w:t xml:space="preserve"> being</w:t>
      </w:r>
      <w:r w:rsidR="003362D8" w:rsidRPr="00660087">
        <w:rPr>
          <w:rFonts w:ascii="Arial" w:hAnsi="Arial" w:cs="Arial"/>
          <w:szCs w:val="24"/>
        </w:rPr>
        <w:t xml:space="preserve"> </w:t>
      </w:r>
      <w:r w:rsidR="00137519" w:rsidRPr="00660087">
        <w:rPr>
          <w:rFonts w:ascii="Arial" w:hAnsi="Arial" w:cs="Arial"/>
          <w:szCs w:val="24"/>
        </w:rPr>
        <w:t xml:space="preserve">at lower debt bandings </w:t>
      </w:r>
      <w:r w:rsidR="00600A7A" w:rsidRPr="00660087">
        <w:rPr>
          <w:rFonts w:ascii="Arial" w:hAnsi="Arial" w:cs="Arial"/>
          <w:szCs w:val="24"/>
        </w:rPr>
        <w:t xml:space="preserve">which </w:t>
      </w:r>
      <w:r w:rsidR="003362D8" w:rsidRPr="00660087">
        <w:rPr>
          <w:rFonts w:ascii="Arial" w:hAnsi="Arial" w:cs="Arial"/>
          <w:szCs w:val="24"/>
        </w:rPr>
        <w:t>are not provided for in the bad debt movement.</w:t>
      </w:r>
      <w:r w:rsidRPr="00660087">
        <w:rPr>
          <w:rFonts w:ascii="Arial" w:hAnsi="Arial" w:cs="Arial"/>
          <w:szCs w:val="24"/>
        </w:rPr>
        <w:t xml:space="preserve">  </w:t>
      </w:r>
    </w:p>
    <w:p w14:paraId="1A8A76ED" w14:textId="77777777" w:rsidR="00084FDF" w:rsidRPr="00660087" w:rsidRDefault="00084FDF" w:rsidP="003362D8">
      <w:pPr>
        <w:pStyle w:val="BodyTextIndent"/>
        <w:ind w:left="720" w:firstLine="0"/>
        <w:rPr>
          <w:rFonts w:ascii="Arial" w:hAnsi="Arial" w:cs="Arial"/>
          <w:szCs w:val="24"/>
        </w:rPr>
      </w:pPr>
    </w:p>
    <w:p w14:paraId="4D0122C3" w14:textId="320FCA45" w:rsidR="00084FDF" w:rsidRPr="00660087" w:rsidRDefault="00DF6E7B" w:rsidP="003362D8">
      <w:pPr>
        <w:pStyle w:val="BodyTextIndent"/>
        <w:ind w:left="720" w:firstLine="0"/>
        <w:rPr>
          <w:rFonts w:ascii="Arial" w:hAnsi="Arial" w:cs="Arial"/>
          <w:szCs w:val="24"/>
        </w:rPr>
      </w:pPr>
      <w:r>
        <w:rPr>
          <w:rFonts w:ascii="Arial" w:hAnsi="Arial" w:cs="Arial"/>
          <w:szCs w:val="24"/>
        </w:rPr>
        <w:t>As we have been more successful in our debt recovery, w</w:t>
      </w:r>
      <w:r w:rsidR="00084FDF" w:rsidRPr="00660087">
        <w:rPr>
          <w:rFonts w:ascii="Arial" w:hAnsi="Arial" w:cs="Arial"/>
          <w:szCs w:val="24"/>
        </w:rPr>
        <w:t>e</w:t>
      </w:r>
      <w:r w:rsidR="003E0FD1" w:rsidRPr="00660087">
        <w:rPr>
          <w:rFonts w:ascii="Arial" w:hAnsi="Arial" w:cs="Arial"/>
          <w:szCs w:val="24"/>
        </w:rPr>
        <w:t xml:space="preserve"> now</w:t>
      </w:r>
      <w:r w:rsidR="00084FDF" w:rsidRPr="00660087">
        <w:rPr>
          <w:rFonts w:ascii="Arial" w:hAnsi="Arial" w:cs="Arial"/>
          <w:szCs w:val="24"/>
        </w:rPr>
        <w:t xml:space="preserve"> do not expect bad debts to jump as high as our original budget </w:t>
      </w:r>
      <w:r>
        <w:rPr>
          <w:rFonts w:ascii="Arial" w:hAnsi="Arial" w:cs="Arial"/>
          <w:szCs w:val="24"/>
        </w:rPr>
        <w:t xml:space="preserve">as fallout from the pandemic, </w:t>
      </w:r>
      <w:r w:rsidR="00084FDF" w:rsidRPr="00660087">
        <w:rPr>
          <w:rFonts w:ascii="Arial" w:hAnsi="Arial" w:cs="Arial"/>
          <w:szCs w:val="24"/>
        </w:rPr>
        <w:t>so have reduced</w:t>
      </w:r>
      <w:r w:rsidR="003E0FD1" w:rsidRPr="00660087">
        <w:rPr>
          <w:rFonts w:ascii="Arial" w:hAnsi="Arial" w:cs="Arial"/>
          <w:szCs w:val="24"/>
        </w:rPr>
        <w:t xml:space="preserve"> this</w:t>
      </w:r>
      <w:r w:rsidR="00084FDF" w:rsidRPr="00660087">
        <w:rPr>
          <w:rFonts w:ascii="Arial" w:hAnsi="Arial" w:cs="Arial"/>
          <w:szCs w:val="24"/>
        </w:rPr>
        <w:t xml:space="preserve"> from 1.1% to 0.75%.</w:t>
      </w:r>
    </w:p>
    <w:p w14:paraId="3F9F6350" w14:textId="77777777" w:rsidR="003362D8" w:rsidRPr="00660087" w:rsidRDefault="003362D8" w:rsidP="003362D8">
      <w:pPr>
        <w:pStyle w:val="BodyTextIndent"/>
        <w:ind w:left="720" w:firstLine="0"/>
        <w:rPr>
          <w:rFonts w:ascii="Arial" w:hAnsi="Arial" w:cs="Arial"/>
          <w:szCs w:val="24"/>
        </w:rPr>
      </w:pPr>
    </w:p>
    <w:p w14:paraId="60B1D10C" w14:textId="756A2981" w:rsidR="00C845BA" w:rsidRPr="00660087" w:rsidRDefault="003362D8" w:rsidP="00137519">
      <w:pPr>
        <w:pStyle w:val="BodyTextIndent"/>
        <w:ind w:left="720" w:firstLine="0"/>
        <w:rPr>
          <w:rFonts w:ascii="Arial" w:hAnsi="Arial" w:cs="Arial"/>
          <w:szCs w:val="24"/>
        </w:rPr>
      </w:pPr>
      <w:r w:rsidRPr="00660087">
        <w:rPr>
          <w:rFonts w:ascii="Arial" w:hAnsi="Arial" w:cs="Arial"/>
          <w:szCs w:val="24"/>
        </w:rPr>
        <w:t xml:space="preserve">The </w:t>
      </w:r>
      <w:r w:rsidR="00137519" w:rsidRPr="00660087">
        <w:rPr>
          <w:rFonts w:ascii="Arial" w:hAnsi="Arial" w:cs="Arial"/>
          <w:szCs w:val="24"/>
        </w:rPr>
        <w:t xml:space="preserve">projected outturn </w:t>
      </w:r>
      <w:r w:rsidRPr="00660087">
        <w:rPr>
          <w:rFonts w:ascii="Arial" w:hAnsi="Arial" w:cs="Arial"/>
          <w:szCs w:val="24"/>
        </w:rPr>
        <w:t xml:space="preserve">has </w:t>
      </w:r>
      <w:r w:rsidR="00C845BA" w:rsidRPr="00660087">
        <w:rPr>
          <w:rFonts w:ascii="Arial" w:hAnsi="Arial" w:cs="Arial"/>
          <w:szCs w:val="24"/>
        </w:rPr>
        <w:t xml:space="preserve">not been </w:t>
      </w:r>
      <w:r w:rsidR="00084FDF" w:rsidRPr="00660087">
        <w:rPr>
          <w:rFonts w:ascii="Arial" w:hAnsi="Arial" w:cs="Arial"/>
          <w:szCs w:val="24"/>
        </w:rPr>
        <w:t>reduced to £43,2</w:t>
      </w:r>
      <w:r w:rsidR="00660087" w:rsidRPr="00660087">
        <w:rPr>
          <w:rFonts w:ascii="Arial" w:hAnsi="Arial" w:cs="Arial"/>
          <w:szCs w:val="24"/>
        </w:rPr>
        <w:t>4</w:t>
      </w:r>
      <w:r w:rsidR="00084FDF" w:rsidRPr="00660087">
        <w:rPr>
          <w:rFonts w:ascii="Arial" w:hAnsi="Arial" w:cs="Arial"/>
          <w:szCs w:val="24"/>
        </w:rPr>
        <w:t xml:space="preserve">1 to reflect this. </w:t>
      </w:r>
    </w:p>
    <w:p w14:paraId="20ADA329" w14:textId="52850D04" w:rsidR="00137519" w:rsidRPr="00660087" w:rsidRDefault="00137519" w:rsidP="00137519">
      <w:pPr>
        <w:pStyle w:val="BodyTextIndent"/>
        <w:ind w:left="720" w:firstLine="0"/>
        <w:rPr>
          <w:rFonts w:ascii="Arial" w:hAnsi="Arial" w:cs="Arial"/>
          <w:szCs w:val="24"/>
        </w:rPr>
      </w:pPr>
      <w:r w:rsidRPr="00660087">
        <w:rPr>
          <w:rFonts w:ascii="Arial" w:hAnsi="Arial" w:cs="Arial"/>
          <w:szCs w:val="24"/>
        </w:rPr>
        <w:t>Appendix 2 Line 19</w:t>
      </w:r>
    </w:p>
    <w:p w14:paraId="405921A7" w14:textId="77777777" w:rsidR="00137519" w:rsidRPr="00660087" w:rsidRDefault="00137519" w:rsidP="00137519">
      <w:pPr>
        <w:pStyle w:val="BodyTextIndent"/>
        <w:ind w:left="720" w:firstLine="0"/>
        <w:rPr>
          <w:rFonts w:ascii="Arial" w:hAnsi="Arial" w:cs="Arial"/>
          <w:szCs w:val="24"/>
          <w:lang w:val="en-US"/>
        </w:rPr>
      </w:pPr>
    </w:p>
    <w:p w14:paraId="366CE1A1" w14:textId="77777777" w:rsidR="00AA5A1C" w:rsidRPr="00733031" w:rsidRDefault="00AA5A1C" w:rsidP="00AA5A1C">
      <w:pPr>
        <w:pStyle w:val="BodyTextIndent"/>
        <w:ind w:left="0" w:firstLine="0"/>
        <w:rPr>
          <w:rFonts w:ascii="Arial" w:hAnsi="Arial" w:cs="Arial"/>
          <w:szCs w:val="24"/>
          <w:u w:val="single"/>
        </w:rPr>
      </w:pPr>
    </w:p>
    <w:p w14:paraId="0A18AECA" w14:textId="21BA26A2" w:rsidR="00447DFC" w:rsidRPr="00733031" w:rsidRDefault="00E86FB3" w:rsidP="000B1049">
      <w:pPr>
        <w:pStyle w:val="BodyTextIndent"/>
        <w:ind w:left="0" w:firstLine="0"/>
        <w:rPr>
          <w:rFonts w:ascii="Arial" w:hAnsi="Arial" w:cs="Arial"/>
          <w:szCs w:val="24"/>
          <w:u w:val="single"/>
        </w:rPr>
      </w:pPr>
      <w:r w:rsidRPr="00733031">
        <w:rPr>
          <w:rFonts w:ascii="Arial" w:hAnsi="Arial" w:cs="Arial"/>
          <w:szCs w:val="24"/>
        </w:rPr>
        <w:t>4.1</w:t>
      </w:r>
      <w:r w:rsidR="0034648B">
        <w:rPr>
          <w:rFonts w:ascii="Arial" w:hAnsi="Arial" w:cs="Arial"/>
          <w:szCs w:val="24"/>
        </w:rPr>
        <w:t>5</w:t>
      </w:r>
      <w:r w:rsidR="000B1049" w:rsidRPr="00733031">
        <w:rPr>
          <w:rFonts w:ascii="Arial" w:hAnsi="Arial" w:cs="Arial"/>
          <w:szCs w:val="24"/>
        </w:rPr>
        <w:t xml:space="preserve"> </w:t>
      </w:r>
      <w:r w:rsidR="000B1049" w:rsidRPr="00733031">
        <w:rPr>
          <w:rFonts w:ascii="Arial" w:hAnsi="Arial" w:cs="Arial"/>
          <w:szCs w:val="24"/>
        </w:rPr>
        <w:tab/>
      </w:r>
      <w:r w:rsidR="00447DFC" w:rsidRPr="00733031">
        <w:rPr>
          <w:rFonts w:ascii="Arial" w:hAnsi="Arial" w:cs="Arial"/>
          <w:szCs w:val="24"/>
          <w:u w:val="single"/>
        </w:rPr>
        <w:t>Board Expenses</w:t>
      </w:r>
    </w:p>
    <w:p w14:paraId="6FF631EE" w14:textId="38576782" w:rsidR="00447DFC" w:rsidRPr="00733031" w:rsidRDefault="00447DFC" w:rsidP="00447DFC">
      <w:pPr>
        <w:pStyle w:val="BodyTextIndent"/>
        <w:ind w:left="709" w:firstLine="0"/>
        <w:rPr>
          <w:rFonts w:ascii="Arial" w:hAnsi="Arial" w:cs="Arial"/>
          <w:szCs w:val="24"/>
        </w:rPr>
      </w:pPr>
      <w:r w:rsidRPr="00733031">
        <w:rPr>
          <w:rFonts w:ascii="Arial" w:hAnsi="Arial" w:cs="Arial"/>
          <w:szCs w:val="24"/>
        </w:rPr>
        <w:t xml:space="preserve">Board Expenses </w:t>
      </w:r>
      <w:r w:rsidR="007F02A2" w:rsidRPr="00733031">
        <w:rPr>
          <w:rFonts w:ascii="Arial" w:hAnsi="Arial" w:cs="Arial"/>
          <w:szCs w:val="24"/>
        </w:rPr>
        <w:t xml:space="preserve">for the year </w:t>
      </w:r>
      <w:r w:rsidR="000F52EF" w:rsidRPr="00733031">
        <w:rPr>
          <w:rFonts w:ascii="Arial" w:hAnsi="Arial" w:cs="Arial"/>
          <w:szCs w:val="24"/>
        </w:rPr>
        <w:t>are £</w:t>
      </w:r>
      <w:r w:rsidR="00733031" w:rsidRPr="00733031">
        <w:rPr>
          <w:rFonts w:ascii="Arial" w:hAnsi="Arial" w:cs="Arial"/>
          <w:szCs w:val="24"/>
        </w:rPr>
        <w:t>648</w:t>
      </w:r>
      <w:r w:rsidR="0034648B">
        <w:rPr>
          <w:rFonts w:ascii="Arial" w:hAnsi="Arial" w:cs="Arial"/>
          <w:szCs w:val="24"/>
        </w:rPr>
        <w:t xml:space="preserve"> </w:t>
      </w:r>
      <w:r w:rsidRPr="00733031">
        <w:rPr>
          <w:rFonts w:ascii="Arial" w:hAnsi="Arial" w:cs="Arial"/>
          <w:szCs w:val="24"/>
        </w:rPr>
        <w:t>compared to t</w:t>
      </w:r>
      <w:r w:rsidR="003E200C" w:rsidRPr="00733031">
        <w:rPr>
          <w:rFonts w:ascii="Arial" w:hAnsi="Arial" w:cs="Arial"/>
          <w:szCs w:val="24"/>
        </w:rPr>
        <w:t>he</w:t>
      </w:r>
      <w:r w:rsidR="003A4FAC" w:rsidRPr="00733031">
        <w:rPr>
          <w:rFonts w:ascii="Arial" w:hAnsi="Arial" w:cs="Arial"/>
          <w:szCs w:val="24"/>
        </w:rPr>
        <w:t xml:space="preserve"> budget for the period of £</w:t>
      </w:r>
      <w:r w:rsidR="00733031" w:rsidRPr="00733031">
        <w:rPr>
          <w:rFonts w:ascii="Arial" w:hAnsi="Arial" w:cs="Arial"/>
          <w:szCs w:val="24"/>
        </w:rPr>
        <w:t>3,443</w:t>
      </w:r>
      <w:r w:rsidRPr="00733031">
        <w:rPr>
          <w:rFonts w:ascii="Arial" w:hAnsi="Arial" w:cs="Arial"/>
          <w:szCs w:val="24"/>
        </w:rPr>
        <w:t>.</w:t>
      </w:r>
      <w:r w:rsidR="00DB1270" w:rsidRPr="00733031">
        <w:rPr>
          <w:rFonts w:ascii="Arial" w:hAnsi="Arial" w:cs="Arial"/>
          <w:szCs w:val="24"/>
        </w:rPr>
        <w:t xml:space="preserve"> The projected outturn has been reduced to £</w:t>
      </w:r>
      <w:r w:rsidR="00733031" w:rsidRPr="00733031">
        <w:rPr>
          <w:rFonts w:ascii="Arial" w:hAnsi="Arial" w:cs="Arial"/>
          <w:szCs w:val="24"/>
        </w:rPr>
        <w:t>1</w:t>
      </w:r>
      <w:r w:rsidR="00DB1270" w:rsidRPr="00733031">
        <w:rPr>
          <w:rFonts w:ascii="Arial" w:hAnsi="Arial" w:cs="Arial"/>
          <w:szCs w:val="24"/>
        </w:rPr>
        <w:t>,000.</w:t>
      </w:r>
      <w:r w:rsidRPr="00733031">
        <w:rPr>
          <w:rFonts w:ascii="Arial" w:hAnsi="Arial" w:cs="Arial"/>
          <w:szCs w:val="24"/>
        </w:rPr>
        <w:t xml:space="preserve"> </w:t>
      </w:r>
    </w:p>
    <w:p w14:paraId="52E65A4A" w14:textId="77777777" w:rsidR="0087141F" w:rsidRPr="0034266B" w:rsidRDefault="0087141F" w:rsidP="00447DFC">
      <w:pPr>
        <w:pStyle w:val="BodyTextIndent"/>
        <w:ind w:left="709" w:firstLine="0"/>
        <w:rPr>
          <w:rFonts w:ascii="Arial" w:hAnsi="Arial" w:cs="Arial"/>
          <w:color w:val="FF0000"/>
          <w:szCs w:val="24"/>
        </w:rPr>
      </w:pPr>
    </w:p>
    <w:p w14:paraId="6A22B933" w14:textId="77777777" w:rsidR="002841FF" w:rsidRDefault="002841FF" w:rsidP="00447DFC">
      <w:pPr>
        <w:pStyle w:val="BodyTextIndent"/>
        <w:ind w:left="709" w:firstLine="0"/>
        <w:rPr>
          <w:rFonts w:ascii="Arial" w:hAnsi="Arial" w:cs="Arial"/>
          <w:color w:val="FF0000"/>
          <w:szCs w:val="24"/>
        </w:rPr>
      </w:pPr>
    </w:p>
    <w:p w14:paraId="0C2AB042" w14:textId="77777777" w:rsidR="0034648B" w:rsidRDefault="0034648B" w:rsidP="00447DFC">
      <w:pPr>
        <w:pStyle w:val="BodyTextIndent"/>
        <w:ind w:left="709" w:firstLine="0"/>
        <w:rPr>
          <w:rFonts w:ascii="Arial" w:hAnsi="Arial" w:cs="Arial"/>
          <w:color w:val="FF0000"/>
          <w:szCs w:val="24"/>
        </w:rPr>
      </w:pPr>
    </w:p>
    <w:p w14:paraId="5CB89922" w14:textId="77777777" w:rsidR="0034648B" w:rsidRDefault="0034648B" w:rsidP="00447DFC">
      <w:pPr>
        <w:pStyle w:val="BodyTextIndent"/>
        <w:ind w:left="709" w:firstLine="0"/>
        <w:rPr>
          <w:rFonts w:ascii="Arial" w:hAnsi="Arial" w:cs="Arial"/>
          <w:color w:val="FF0000"/>
          <w:szCs w:val="24"/>
        </w:rPr>
      </w:pPr>
    </w:p>
    <w:p w14:paraId="30D7A04B" w14:textId="77777777" w:rsidR="0034648B" w:rsidRDefault="0034648B" w:rsidP="00447DFC">
      <w:pPr>
        <w:pStyle w:val="BodyTextIndent"/>
        <w:ind w:left="709" w:firstLine="0"/>
        <w:rPr>
          <w:rFonts w:ascii="Arial" w:hAnsi="Arial" w:cs="Arial"/>
          <w:color w:val="FF0000"/>
          <w:szCs w:val="24"/>
        </w:rPr>
      </w:pPr>
    </w:p>
    <w:p w14:paraId="5B2D2926" w14:textId="77777777" w:rsidR="0034648B" w:rsidRDefault="0034648B" w:rsidP="00447DFC">
      <w:pPr>
        <w:pStyle w:val="BodyTextIndent"/>
        <w:ind w:left="709" w:firstLine="0"/>
        <w:rPr>
          <w:rFonts w:ascii="Arial" w:hAnsi="Arial" w:cs="Arial"/>
          <w:color w:val="FF0000"/>
          <w:szCs w:val="24"/>
        </w:rPr>
      </w:pPr>
    </w:p>
    <w:p w14:paraId="6E9070B7" w14:textId="77777777" w:rsidR="0034648B" w:rsidRPr="0034266B" w:rsidRDefault="0034648B" w:rsidP="00447DFC">
      <w:pPr>
        <w:pStyle w:val="BodyTextIndent"/>
        <w:ind w:left="709" w:firstLine="0"/>
        <w:rPr>
          <w:rFonts w:ascii="Arial" w:hAnsi="Arial" w:cs="Arial"/>
          <w:color w:val="FF0000"/>
          <w:szCs w:val="24"/>
        </w:rPr>
      </w:pPr>
    </w:p>
    <w:p w14:paraId="5127BE15" w14:textId="453567A5" w:rsidR="008820FE" w:rsidRPr="00B55F8C" w:rsidRDefault="008820FE" w:rsidP="0034648B">
      <w:pPr>
        <w:pStyle w:val="BodyTextIndent"/>
        <w:numPr>
          <w:ilvl w:val="1"/>
          <w:numId w:val="37"/>
        </w:numPr>
        <w:rPr>
          <w:rFonts w:ascii="Arial" w:hAnsi="Arial" w:cs="Arial"/>
          <w:szCs w:val="24"/>
          <w:u w:val="single"/>
        </w:rPr>
      </w:pPr>
      <w:r w:rsidRPr="00B55F8C">
        <w:rPr>
          <w:rFonts w:ascii="Arial" w:hAnsi="Arial" w:cs="Arial"/>
          <w:szCs w:val="24"/>
          <w:u w:val="single"/>
        </w:rPr>
        <w:lastRenderedPageBreak/>
        <w:t xml:space="preserve">Balance Sheet – </w:t>
      </w:r>
      <w:r w:rsidR="00514C78" w:rsidRPr="00B55F8C">
        <w:rPr>
          <w:rFonts w:ascii="Arial" w:hAnsi="Arial" w:cs="Arial"/>
          <w:szCs w:val="24"/>
          <w:u w:val="single"/>
        </w:rPr>
        <w:t>Component R</w:t>
      </w:r>
      <w:r w:rsidR="008D3000" w:rsidRPr="00B55F8C">
        <w:rPr>
          <w:rFonts w:ascii="Arial" w:hAnsi="Arial" w:cs="Arial"/>
          <w:szCs w:val="24"/>
          <w:u w:val="single"/>
        </w:rPr>
        <w:t xml:space="preserve">eplacement </w:t>
      </w:r>
      <w:r w:rsidR="00514C78" w:rsidRPr="00B55F8C">
        <w:rPr>
          <w:rFonts w:ascii="Arial" w:hAnsi="Arial" w:cs="Arial"/>
          <w:szCs w:val="24"/>
          <w:u w:val="single"/>
        </w:rPr>
        <w:t>S</w:t>
      </w:r>
      <w:r w:rsidR="008D3000" w:rsidRPr="00B55F8C">
        <w:rPr>
          <w:rFonts w:ascii="Arial" w:hAnsi="Arial" w:cs="Arial"/>
          <w:szCs w:val="24"/>
          <w:u w:val="single"/>
        </w:rPr>
        <w:t>pen</w:t>
      </w:r>
      <w:r w:rsidR="005E3208">
        <w:rPr>
          <w:rFonts w:ascii="Arial" w:hAnsi="Arial" w:cs="Arial"/>
          <w:szCs w:val="24"/>
          <w:u w:val="single"/>
        </w:rPr>
        <w:t>d</w:t>
      </w:r>
    </w:p>
    <w:p w14:paraId="7CB3FC53" w14:textId="7C824E89" w:rsidR="00866B85" w:rsidRPr="00B55F8C" w:rsidRDefault="00A97AEF" w:rsidP="00F968FA">
      <w:pPr>
        <w:pStyle w:val="BodyTextIndent"/>
        <w:ind w:left="720" w:firstLine="0"/>
        <w:rPr>
          <w:rFonts w:ascii="Arial" w:hAnsi="Arial" w:cs="Arial"/>
          <w:szCs w:val="24"/>
        </w:rPr>
      </w:pPr>
      <w:r w:rsidRPr="00B55F8C">
        <w:rPr>
          <w:rFonts w:ascii="Arial" w:hAnsi="Arial" w:cs="Arial"/>
          <w:szCs w:val="24"/>
        </w:rPr>
        <w:t xml:space="preserve">Spend for the </w:t>
      </w:r>
      <w:r w:rsidR="00E107B9" w:rsidRPr="00B55F8C">
        <w:rPr>
          <w:rFonts w:ascii="Arial" w:hAnsi="Arial" w:cs="Arial"/>
          <w:szCs w:val="24"/>
        </w:rPr>
        <w:t>quarter</w:t>
      </w:r>
      <w:r w:rsidRPr="00B55F8C">
        <w:rPr>
          <w:rFonts w:ascii="Arial" w:hAnsi="Arial" w:cs="Arial"/>
          <w:szCs w:val="24"/>
        </w:rPr>
        <w:t xml:space="preserve"> on com</w:t>
      </w:r>
      <w:r w:rsidR="00451D8C" w:rsidRPr="00B55F8C">
        <w:rPr>
          <w:rFonts w:ascii="Arial" w:hAnsi="Arial" w:cs="Arial"/>
          <w:szCs w:val="24"/>
        </w:rPr>
        <w:t>ponent</w:t>
      </w:r>
      <w:r w:rsidRPr="00B55F8C">
        <w:rPr>
          <w:rFonts w:ascii="Arial" w:hAnsi="Arial" w:cs="Arial"/>
          <w:szCs w:val="24"/>
        </w:rPr>
        <w:t xml:space="preserve"> replacements was £</w:t>
      </w:r>
      <w:r w:rsidR="00733031" w:rsidRPr="00B55F8C">
        <w:rPr>
          <w:rFonts w:ascii="Arial" w:hAnsi="Arial" w:cs="Arial"/>
          <w:szCs w:val="24"/>
        </w:rPr>
        <w:t>265,820</w:t>
      </w:r>
      <w:r w:rsidRPr="00B55F8C">
        <w:rPr>
          <w:rFonts w:ascii="Arial" w:hAnsi="Arial" w:cs="Arial"/>
          <w:szCs w:val="24"/>
        </w:rPr>
        <w:t>.</w:t>
      </w:r>
    </w:p>
    <w:p w14:paraId="1FE3EE0C" w14:textId="77777777" w:rsidR="00A97AEF" w:rsidRPr="00B55F8C" w:rsidRDefault="00A97AEF" w:rsidP="00F968FA">
      <w:pPr>
        <w:pStyle w:val="BodyTextIndent"/>
        <w:ind w:left="720" w:firstLine="0"/>
        <w:rPr>
          <w:rFonts w:ascii="Arial" w:hAnsi="Arial" w:cs="Arial"/>
          <w:szCs w:val="24"/>
        </w:rPr>
      </w:pPr>
    </w:p>
    <w:p w14:paraId="062FF96F" w14:textId="77777777" w:rsidR="00E107B9" w:rsidRPr="00B55F8C" w:rsidRDefault="00460A43" w:rsidP="00460A43">
      <w:pPr>
        <w:pStyle w:val="BodyTextIndent"/>
        <w:ind w:left="720" w:firstLine="0"/>
        <w:rPr>
          <w:rFonts w:ascii="Arial" w:hAnsi="Arial" w:cs="Arial"/>
          <w:szCs w:val="24"/>
        </w:rPr>
      </w:pPr>
      <w:r w:rsidRPr="00B55F8C">
        <w:rPr>
          <w:rFonts w:ascii="Arial" w:hAnsi="Arial" w:cs="Arial"/>
          <w:szCs w:val="24"/>
        </w:rPr>
        <w:t>This is spend on the</w:t>
      </w:r>
      <w:r w:rsidR="0017056F" w:rsidRPr="00B55F8C">
        <w:rPr>
          <w:rFonts w:ascii="Arial" w:hAnsi="Arial" w:cs="Arial"/>
          <w:szCs w:val="24"/>
        </w:rPr>
        <w:t xml:space="preserve"> rewiring</w:t>
      </w:r>
      <w:r w:rsidR="005452DD" w:rsidRPr="00B55F8C">
        <w:rPr>
          <w:rFonts w:ascii="Arial" w:hAnsi="Arial" w:cs="Arial"/>
          <w:szCs w:val="24"/>
        </w:rPr>
        <w:t xml:space="preserve"> and fire safety works, and the boiler contract. </w:t>
      </w:r>
      <w:r w:rsidRPr="00B55F8C">
        <w:rPr>
          <w:rFonts w:ascii="Arial" w:hAnsi="Arial" w:cs="Arial"/>
          <w:szCs w:val="24"/>
        </w:rPr>
        <w:t xml:space="preserve">  </w:t>
      </w:r>
    </w:p>
    <w:p w14:paraId="7980DE34" w14:textId="77777777" w:rsidR="00E107B9" w:rsidRPr="00B55F8C" w:rsidRDefault="00E107B9" w:rsidP="00F968FA">
      <w:pPr>
        <w:pStyle w:val="BodyTextIndent"/>
        <w:ind w:left="720" w:firstLine="0"/>
        <w:rPr>
          <w:rFonts w:ascii="Arial" w:hAnsi="Arial" w:cs="Arial"/>
          <w:szCs w:val="24"/>
        </w:rPr>
      </w:pPr>
    </w:p>
    <w:p w14:paraId="5FD96AA6" w14:textId="77777777" w:rsidR="00F10563" w:rsidRPr="005F1855" w:rsidRDefault="000B1049" w:rsidP="00460A43">
      <w:pPr>
        <w:pStyle w:val="BodyTextIndent"/>
        <w:ind w:left="720" w:firstLine="0"/>
        <w:rPr>
          <w:rFonts w:ascii="Arial" w:hAnsi="Arial" w:cs="Arial"/>
          <w:color w:val="FF0000"/>
          <w:szCs w:val="24"/>
        </w:rPr>
      </w:pPr>
      <w:r w:rsidRPr="00B55F8C">
        <w:rPr>
          <w:rFonts w:ascii="Arial" w:hAnsi="Arial" w:cs="Arial"/>
          <w:szCs w:val="24"/>
        </w:rPr>
        <w:t xml:space="preserve">The </w:t>
      </w:r>
      <w:r w:rsidRPr="00DF5050">
        <w:rPr>
          <w:rFonts w:ascii="Arial" w:hAnsi="Arial" w:cs="Arial"/>
          <w:szCs w:val="24"/>
        </w:rPr>
        <w:t>k</w:t>
      </w:r>
      <w:r w:rsidR="00F10563" w:rsidRPr="00DF5050">
        <w:rPr>
          <w:rFonts w:ascii="Arial" w:hAnsi="Arial" w:cs="Arial"/>
          <w:szCs w:val="24"/>
        </w:rPr>
        <w:t>itchen</w:t>
      </w:r>
      <w:r w:rsidRPr="00DF5050">
        <w:rPr>
          <w:rFonts w:ascii="Arial" w:hAnsi="Arial" w:cs="Arial"/>
          <w:szCs w:val="24"/>
        </w:rPr>
        <w:t xml:space="preserve"> contract has b</w:t>
      </w:r>
      <w:r w:rsidR="00F10563" w:rsidRPr="00DF5050">
        <w:rPr>
          <w:rFonts w:ascii="Arial" w:hAnsi="Arial" w:cs="Arial"/>
          <w:szCs w:val="24"/>
        </w:rPr>
        <w:t xml:space="preserve">een procured as </w:t>
      </w:r>
      <w:r w:rsidR="0017056F" w:rsidRPr="00DF5050">
        <w:rPr>
          <w:rFonts w:ascii="Arial" w:hAnsi="Arial" w:cs="Arial"/>
          <w:szCs w:val="24"/>
        </w:rPr>
        <w:t xml:space="preserve">a </w:t>
      </w:r>
      <w:r w:rsidR="00F10563" w:rsidRPr="00DF5050">
        <w:rPr>
          <w:rFonts w:ascii="Arial" w:hAnsi="Arial" w:cs="Arial"/>
          <w:szCs w:val="24"/>
        </w:rPr>
        <w:t>2 year contract,</w:t>
      </w:r>
      <w:r w:rsidR="0017056F" w:rsidRPr="00DF5050">
        <w:rPr>
          <w:rFonts w:ascii="Arial" w:hAnsi="Arial" w:cs="Arial"/>
          <w:szCs w:val="24"/>
        </w:rPr>
        <w:t xml:space="preserve"> with the option to extend.  In</w:t>
      </w:r>
      <w:r w:rsidR="00F10563" w:rsidRPr="00DF5050">
        <w:rPr>
          <w:rFonts w:ascii="Arial" w:hAnsi="Arial" w:cs="Arial"/>
          <w:szCs w:val="24"/>
        </w:rPr>
        <w:t xml:space="preserve"> this</w:t>
      </w:r>
      <w:r w:rsidR="0017056F" w:rsidRPr="00DF5050">
        <w:rPr>
          <w:rFonts w:ascii="Arial" w:hAnsi="Arial" w:cs="Arial"/>
          <w:szCs w:val="24"/>
        </w:rPr>
        <w:t>,</w:t>
      </w:r>
      <w:r w:rsidR="00F10563" w:rsidRPr="00DF5050">
        <w:rPr>
          <w:rFonts w:ascii="Arial" w:hAnsi="Arial" w:cs="Arial"/>
          <w:szCs w:val="24"/>
        </w:rPr>
        <w:t xml:space="preserve"> year 1, we are doing less properties at a slightly higher cost.  However the cost for year 2 is projected to be less than </w:t>
      </w:r>
      <w:r w:rsidR="0017056F" w:rsidRPr="00DF5050">
        <w:rPr>
          <w:rFonts w:ascii="Arial" w:hAnsi="Arial" w:cs="Arial"/>
          <w:szCs w:val="24"/>
        </w:rPr>
        <w:t xml:space="preserve">anticipated </w:t>
      </w:r>
      <w:r w:rsidR="00F10563" w:rsidRPr="00DF5050">
        <w:rPr>
          <w:rFonts w:ascii="Arial" w:hAnsi="Arial" w:cs="Arial"/>
          <w:szCs w:val="24"/>
        </w:rPr>
        <w:t>in the 5 year budget.</w:t>
      </w:r>
    </w:p>
    <w:p w14:paraId="32DD4297" w14:textId="77777777" w:rsidR="00451D8C" w:rsidRPr="005F1855" w:rsidRDefault="00451D8C" w:rsidP="00460A43">
      <w:pPr>
        <w:pStyle w:val="BodyTextIndent"/>
        <w:ind w:left="720" w:firstLine="0"/>
        <w:rPr>
          <w:rFonts w:ascii="Arial" w:hAnsi="Arial" w:cs="Arial"/>
          <w:color w:val="FF0000"/>
          <w:szCs w:val="24"/>
        </w:rPr>
      </w:pPr>
    </w:p>
    <w:p w14:paraId="6D505DFD" w14:textId="7ECA4A5F" w:rsidR="00151993" w:rsidRPr="00F21342" w:rsidRDefault="007C5911" w:rsidP="00460A43">
      <w:pPr>
        <w:pStyle w:val="BodyTextIndent"/>
        <w:ind w:left="720" w:firstLine="0"/>
        <w:rPr>
          <w:rFonts w:ascii="Arial" w:hAnsi="Arial" w:cs="Arial"/>
          <w:color w:val="FF0000"/>
          <w:szCs w:val="24"/>
        </w:rPr>
      </w:pPr>
      <w:r>
        <w:rPr>
          <w:rFonts w:ascii="Arial" w:hAnsi="Arial" w:cs="Arial"/>
          <w:color w:val="000000"/>
          <w:bdr w:val="none" w:sz="0" w:space="0" w:color="auto" w:frame="1"/>
          <w:shd w:val="clear" w:color="auto" w:fill="FFFFFF"/>
        </w:rPr>
        <w:t>The bathroom contractor has pull</w:t>
      </w:r>
      <w:r>
        <w:rPr>
          <w:rFonts w:ascii="Arial" w:hAnsi="Arial" w:cs="Arial"/>
          <w:color w:val="000000"/>
          <w:bdr w:val="none" w:sz="0" w:space="0" w:color="auto" w:frame="1"/>
          <w:shd w:val="clear" w:color="auto" w:fill="FFFFFF"/>
        </w:rPr>
        <w:t>ed</w:t>
      </w:r>
      <w:r>
        <w:rPr>
          <w:rFonts w:ascii="Arial" w:hAnsi="Arial" w:cs="Arial"/>
          <w:color w:val="000000"/>
          <w:bdr w:val="none" w:sz="0" w:space="0" w:color="auto" w:frame="1"/>
          <w:shd w:val="clear" w:color="auto" w:fill="FFFFFF"/>
        </w:rPr>
        <w:t xml:space="preserve"> out of the contract as per the report that went to the board in January. Our agreed action is to re procure for 136 properties from the Framework in Q4 once permitted to do so. Installation will consequently slip into 2022/23.</w:t>
      </w:r>
      <w:r>
        <w:rPr>
          <w:rFonts w:ascii="Arial" w:hAnsi="Arial" w:cs="Arial"/>
          <w:color w:val="000000"/>
          <w:bdr w:val="none" w:sz="0" w:space="0" w:color="auto" w:frame="1"/>
          <w:shd w:val="clear" w:color="auto" w:fill="FFFFFF"/>
        </w:rPr>
        <w:t xml:space="preserve"> </w:t>
      </w:r>
    </w:p>
    <w:p w14:paraId="3F32A986" w14:textId="77777777" w:rsidR="00F10563" w:rsidRPr="00F21342" w:rsidRDefault="00F10563" w:rsidP="00460A43">
      <w:pPr>
        <w:pStyle w:val="BodyTextIndent"/>
        <w:ind w:left="720" w:firstLine="0"/>
        <w:rPr>
          <w:rFonts w:ascii="Arial" w:hAnsi="Arial" w:cs="Arial"/>
          <w:color w:val="FF0000"/>
          <w:szCs w:val="24"/>
        </w:rPr>
      </w:pPr>
    </w:p>
    <w:p w14:paraId="159E41D7" w14:textId="19BBCC0B" w:rsidR="00151993" w:rsidRPr="00F21342" w:rsidRDefault="007C5911" w:rsidP="00460A43">
      <w:pPr>
        <w:pStyle w:val="BodyTextIndent"/>
        <w:ind w:left="720" w:firstLine="0"/>
        <w:rPr>
          <w:rFonts w:ascii="Arial" w:hAnsi="Arial" w:cs="Arial"/>
          <w:color w:val="FF0000"/>
          <w:szCs w:val="24"/>
        </w:rPr>
      </w:pPr>
      <w:r>
        <w:rPr>
          <w:rFonts w:ascii="Arial" w:hAnsi="Arial" w:cs="Arial"/>
          <w:color w:val="000000"/>
          <w:bdr w:val="none" w:sz="0" w:space="0" w:color="auto" w:frame="1"/>
          <w:shd w:val="clear" w:color="auto" w:fill="FFFFFF"/>
        </w:rPr>
        <w:t>Due to lack of interest by contractors on Framework Lot 3 (doors and windows), internal doors will be procured this year along with 2022/23 external</w:t>
      </w:r>
      <w:r>
        <w:rPr>
          <w:rFonts w:ascii="Arial" w:hAnsi="Arial" w:cs="Arial"/>
          <w:color w:val="000000"/>
          <w:bdr w:val="none" w:sz="0" w:space="0" w:color="auto" w:frame="1"/>
          <w:shd w:val="clear" w:color="auto" w:fill="FFFFFF"/>
        </w:rPr>
        <w:t xml:space="preserve"> doors. This may have to be out</w:t>
      </w:r>
      <w:bookmarkStart w:id="2" w:name="_GoBack"/>
      <w:bookmarkEnd w:id="2"/>
      <w:r>
        <w:rPr>
          <w:rFonts w:ascii="Arial" w:hAnsi="Arial" w:cs="Arial"/>
          <w:color w:val="000000"/>
          <w:bdr w:val="none" w:sz="0" w:space="0" w:color="auto" w:frame="1"/>
          <w:shd w:val="clear" w:color="auto" w:fill="FFFFFF"/>
        </w:rPr>
        <w:t>with the Framework. Their installation will therefore be in 2022/23. </w:t>
      </w:r>
      <w:r w:rsidR="0099402E" w:rsidRPr="00F21342">
        <w:rPr>
          <w:rFonts w:ascii="Arial" w:hAnsi="Arial" w:cs="Arial"/>
          <w:color w:val="FF0000"/>
          <w:szCs w:val="24"/>
        </w:rPr>
        <w:t>.</w:t>
      </w:r>
    </w:p>
    <w:p w14:paraId="73508582" w14:textId="77777777" w:rsidR="00F10563" w:rsidRPr="00B55F8C" w:rsidRDefault="00F10563" w:rsidP="00460A43">
      <w:pPr>
        <w:pStyle w:val="BodyTextIndent"/>
        <w:ind w:left="720" w:firstLine="0"/>
        <w:rPr>
          <w:rFonts w:ascii="Arial" w:hAnsi="Arial" w:cs="Arial"/>
          <w:szCs w:val="24"/>
        </w:rPr>
      </w:pPr>
    </w:p>
    <w:p w14:paraId="731EB31A" w14:textId="2F1687A3" w:rsidR="00CD3A07" w:rsidRPr="00B55F8C" w:rsidRDefault="00253E7F" w:rsidP="0099402E">
      <w:pPr>
        <w:pStyle w:val="BodyTextIndent"/>
        <w:ind w:left="720" w:firstLine="0"/>
        <w:jc w:val="left"/>
        <w:rPr>
          <w:rFonts w:ascii="Arial" w:hAnsi="Arial" w:cs="Arial"/>
          <w:szCs w:val="24"/>
        </w:rPr>
      </w:pPr>
      <w:r w:rsidRPr="00B55F8C">
        <w:rPr>
          <w:rFonts w:ascii="Arial" w:hAnsi="Arial" w:cs="Arial"/>
          <w:szCs w:val="24"/>
        </w:rPr>
        <w:t>T</w:t>
      </w:r>
      <w:r w:rsidR="00DE2A18" w:rsidRPr="00B55F8C">
        <w:rPr>
          <w:rFonts w:ascii="Arial" w:hAnsi="Arial" w:cs="Arial"/>
          <w:szCs w:val="24"/>
        </w:rPr>
        <w:t xml:space="preserve">he projected outturn </w:t>
      </w:r>
      <w:r w:rsidR="00164185" w:rsidRPr="00B55F8C">
        <w:rPr>
          <w:rFonts w:ascii="Arial" w:hAnsi="Arial" w:cs="Arial"/>
          <w:szCs w:val="24"/>
        </w:rPr>
        <w:t>has</w:t>
      </w:r>
      <w:r w:rsidR="0099402E" w:rsidRPr="00B55F8C">
        <w:rPr>
          <w:rFonts w:ascii="Arial" w:hAnsi="Arial" w:cs="Arial"/>
          <w:szCs w:val="24"/>
        </w:rPr>
        <w:t xml:space="preserve"> </w:t>
      </w:r>
      <w:r w:rsidR="00460A43" w:rsidRPr="00B55F8C">
        <w:rPr>
          <w:rFonts w:ascii="Arial" w:hAnsi="Arial" w:cs="Arial"/>
          <w:szCs w:val="24"/>
        </w:rPr>
        <w:t xml:space="preserve">been </w:t>
      </w:r>
      <w:r w:rsidR="0099402E" w:rsidRPr="00B55F8C">
        <w:rPr>
          <w:rFonts w:ascii="Arial" w:hAnsi="Arial" w:cs="Arial"/>
          <w:szCs w:val="24"/>
        </w:rPr>
        <w:t>reduced to £1,</w:t>
      </w:r>
      <w:r w:rsidR="00B20832" w:rsidRPr="00B55F8C">
        <w:rPr>
          <w:rFonts w:ascii="Arial" w:hAnsi="Arial" w:cs="Arial"/>
          <w:szCs w:val="24"/>
        </w:rPr>
        <w:t>271,819</w:t>
      </w:r>
      <w:r w:rsidR="0099402E" w:rsidRPr="00B55F8C">
        <w:rPr>
          <w:rFonts w:ascii="Arial" w:hAnsi="Arial" w:cs="Arial"/>
          <w:szCs w:val="24"/>
        </w:rPr>
        <w:t xml:space="preserve"> to reflect the above.</w:t>
      </w:r>
    </w:p>
    <w:p w14:paraId="7BC9D56B" w14:textId="225D221E" w:rsidR="00514C78" w:rsidRPr="00B55F8C" w:rsidRDefault="00514C78" w:rsidP="00514C78">
      <w:pPr>
        <w:tabs>
          <w:tab w:val="num" w:pos="709"/>
        </w:tabs>
        <w:ind w:left="720"/>
        <w:jc w:val="both"/>
        <w:rPr>
          <w:rFonts w:ascii="Arial" w:hAnsi="Arial" w:cs="Arial"/>
          <w:sz w:val="24"/>
          <w:szCs w:val="24"/>
        </w:rPr>
      </w:pPr>
      <w:r w:rsidRPr="00B55F8C">
        <w:rPr>
          <w:rFonts w:ascii="Arial" w:hAnsi="Arial" w:cs="Arial"/>
          <w:sz w:val="24"/>
          <w:szCs w:val="24"/>
        </w:rPr>
        <w:t xml:space="preserve">Appendix </w:t>
      </w:r>
      <w:r w:rsidR="00E66B68" w:rsidRPr="00B55F8C">
        <w:rPr>
          <w:rFonts w:ascii="Arial" w:hAnsi="Arial" w:cs="Arial"/>
          <w:sz w:val="24"/>
          <w:szCs w:val="24"/>
        </w:rPr>
        <w:t>4</w:t>
      </w:r>
      <w:r w:rsidRPr="00B55F8C">
        <w:rPr>
          <w:rFonts w:ascii="Arial" w:hAnsi="Arial" w:cs="Arial"/>
          <w:sz w:val="24"/>
          <w:szCs w:val="24"/>
        </w:rPr>
        <w:t xml:space="preserve"> Line 3</w:t>
      </w:r>
    </w:p>
    <w:p w14:paraId="090D5625" w14:textId="77777777" w:rsidR="009A1210" w:rsidRPr="0034266B" w:rsidRDefault="009A1210" w:rsidP="007219D6">
      <w:pPr>
        <w:tabs>
          <w:tab w:val="num" w:pos="709"/>
        </w:tabs>
        <w:jc w:val="both"/>
        <w:rPr>
          <w:rFonts w:ascii="Arial" w:hAnsi="Arial" w:cs="Arial"/>
          <w:color w:val="FF0000"/>
          <w:sz w:val="24"/>
          <w:szCs w:val="24"/>
        </w:rPr>
      </w:pPr>
    </w:p>
    <w:p w14:paraId="5FAE8F0C" w14:textId="77777777" w:rsidR="002C01C0" w:rsidRPr="0017056F" w:rsidRDefault="002C01C0" w:rsidP="00514C78">
      <w:pPr>
        <w:tabs>
          <w:tab w:val="num" w:pos="709"/>
        </w:tabs>
        <w:ind w:left="720"/>
        <w:jc w:val="both"/>
        <w:rPr>
          <w:rFonts w:ascii="Arial" w:hAnsi="Arial" w:cs="Arial"/>
          <w:sz w:val="24"/>
          <w:szCs w:val="24"/>
        </w:rPr>
      </w:pPr>
    </w:p>
    <w:p w14:paraId="46B2B5BF" w14:textId="77777777" w:rsidR="00772C76" w:rsidRPr="0017056F" w:rsidRDefault="00772C76">
      <w:pPr>
        <w:pStyle w:val="BodyTextIndent"/>
        <w:rPr>
          <w:rFonts w:ascii="Arial" w:hAnsi="Arial" w:cs="Arial"/>
          <w:szCs w:val="24"/>
        </w:rPr>
      </w:pPr>
      <w:r w:rsidRPr="0017056F">
        <w:rPr>
          <w:rFonts w:ascii="Arial" w:hAnsi="Arial" w:cs="Arial"/>
          <w:szCs w:val="24"/>
        </w:rPr>
        <w:t>5.0</w:t>
      </w:r>
      <w:r w:rsidRPr="0017056F">
        <w:rPr>
          <w:rFonts w:ascii="Arial" w:hAnsi="Arial" w:cs="Arial"/>
          <w:szCs w:val="24"/>
        </w:rPr>
        <w:tab/>
      </w:r>
      <w:r w:rsidRPr="0017056F">
        <w:rPr>
          <w:rFonts w:ascii="Arial" w:hAnsi="Arial" w:cs="Arial"/>
          <w:szCs w:val="24"/>
        </w:rPr>
        <w:tab/>
      </w:r>
      <w:r w:rsidRPr="0017056F">
        <w:rPr>
          <w:rFonts w:ascii="Arial" w:hAnsi="Arial" w:cs="Arial"/>
          <w:b/>
          <w:szCs w:val="24"/>
        </w:rPr>
        <w:t>Summary of Performance</w:t>
      </w:r>
    </w:p>
    <w:p w14:paraId="50F339ED" w14:textId="77777777" w:rsidR="00772C76" w:rsidRPr="0017056F" w:rsidRDefault="00772C76">
      <w:pPr>
        <w:pStyle w:val="BodyTextIndent"/>
        <w:rPr>
          <w:rFonts w:ascii="Arial" w:hAnsi="Arial" w:cs="Arial"/>
          <w:szCs w:val="24"/>
        </w:rPr>
      </w:pPr>
    </w:p>
    <w:p w14:paraId="1E021543" w14:textId="1CFA470D" w:rsidR="001A15D5" w:rsidRPr="0099699C" w:rsidRDefault="000F5A04" w:rsidP="001A15D5">
      <w:pPr>
        <w:pStyle w:val="BodyTextIndent"/>
        <w:numPr>
          <w:ilvl w:val="1"/>
          <w:numId w:val="9"/>
        </w:numPr>
        <w:tabs>
          <w:tab w:val="clear" w:pos="360"/>
        </w:tabs>
        <w:ind w:left="709" w:hanging="709"/>
        <w:rPr>
          <w:rFonts w:ascii="Arial" w:hAnsi="Arial" w:cs="Arial"/>
          <w:szCs w:val="24"/>
        </w:rPr>
      </w:pPr>
      <w:r w:rsidRPr="0099699C">
        <w:rPr>
          <w:rFonts w:ascii="Arial" w:hAnsi="Arial" w:cs="Arial"/>
          <w:szCs w:val="24"/>
        </w:rPr>
        <w:t xml:space="preserve">Overall, </w:t>
      </w:r>
      <w:r w:rsidR="000B5F1E" w:rsidRPr="0099699C">
        <w:rPr>
          <w:rFonts w:ascii="Arial" w:hAnsi="Arial" w:cs="Arial"/>
          <w:szCs w:val="24"/>
        </w:rPr>
        <w:t xml:space="preserve">our </w:t>
      </w:r>
      <w:r w:rsidRPr="0099699C">
        <w:rPr>
          <w:rFonts w:ascii="Arial" w:hAnsi="Arial" w:cs="Arial"/>
          <w:szCs w:val="24"/>
        </w:rPr>
        <w:t xml:space="preserve">performance </w:t>
      </w:r>
      <w:r w:rsidR="00430BA9">
        <w:rPr>
          <w:rFonts w:ascii="Arial" w:hAnsi="Arial" w:cs="Arial"/>
          <w:szCs w:val="24"/>
        </w:rPr>
        <w:t xml:space="preserve">has resulted in an underspend against </w:t>
      </w:r>
      <w:r w:rsidR="00E66B68" w:rsidRPr="0099699C">
        <w:rPr>
          <w:rFonts w:ascii="Arial" w:hAnsi="Arial" w:cs="Arial"/>
          <w:szCs w:val="24"/>
        </w:rPr>
        <w:t xml:space="preserve">budget </w:t>
      </w:r>
      <w:r w:rsidR="00430BA9">
        <w:rPr>
          <w:rFonts w:ascii="Arial" w:hAnsi="Arial" w:cs="Arial"/>
          <w:szCs w:val="24"/>
        </w:rPr>
        <w:t xml:space="preserve">of </w:t>
      </w:r>
      <w:r w:rsidR="00E66B68" w:rsidRPr="0099699C">
        <w:rPr>
          <w:rFonts w:ascii="Arial" w:hAnsi="Arial" w:cs="Arial"/>
          <w:szCs w:val="24"/>
        </w:rPr>
        <w:t>£</w:t>
      </w:r>
      <w:r w:rsidR="00780FD1">
        <w:rPr>
          <w:rFonts w:ascii="Arial" w:hAnsi="Arial" w:cs="Arial"/>
          <w:szCs w:val="24"/>
        </w:rPr>
        <w:t>306,312</w:t>
      </w:r>
      <w:r w:rsidR="00E66B68" w:rsidRPr="0099699C">
        <w:rPr>
          <w:rFonts w:ascii="Arial" w:hAnsi="Arial" w:cs="Arial"/>
          <w:szCs w:val="24"/>
        </w:rPr>
        <w:t>.  I</w:t>
      </w:r>
      <w:r w:rsidRPr="0099699C">
        <w:rPr>
          <w:rFonts w:ascii="Arial" w:hAnsi="Arial" w:cs="Arial"/>
          <w:szCs w:val="24"/>
        </w:rPr>
        <w:t xml:space="preserve">t is anticipated that </w:t>
      </w:r>
      <w:r w:rsidR="000B5F1E" w:rsidRPr="0099699C">
        <w:rPr>
          <w:rFonts w:ascii="Arial" w:hAnsi="Arial" w:cs="Arial"/>
          <w:szCs w:val="24"/>
        </w:rPr>
        <w:t>the</w:t>
      </w:r>
      <w:r w:rsidRPr="0099699C">
        <w:rPr>
          <w:rFonts w:ascii="Arial" w:hAnsi="Arial" w:cs="Arial"/>
          <w:szCs w:val="24"/>
        </w:rPr>
        <w:t xml:space="preserve"> outturn for the year will be </w:t>
      </w:r>
      <w:r w:rsidR="000F6611" w:rsidRPr="0099699C">
        <w:rPr>
          <w:rFonts w:ascii="Arial" w:hAnsi="Arial" w:cs="Arial"/>
          <w:szCs w:val="24"/>
        </w:rPr>
        <w:t>£</w:t>
      </w:r>
      <w:r w:rsidR="00523AF9" w:rsidRPr="0099699C">
        <w:rPr>
          <w:rFonts w:ascii="Arial" w:hAnsi="Arial" w:cs="Arial"/>
          <w:szCs w:val="24"/>
        </w:rPr>
        <w:t>1,</w:t>
      </w:r>
      <w:r w:rsidR="00780FD1">
        <w:rPr>
          <w:rFonts w:ascii="Arial" w:hAnsi="Arial" w:cs="Arial"/>
          <w:szCs w:val="24"/>
        </w:rPr>
        <w:t>337,047</w:t>
      </w:r>
      <w:r w:rsidR="000F6611" w:rsidRPr="0099699C">
        <w:rPr>
          <w:rFonts w:ascii="Arial" w:hAnsi="Arial" w:cs="Arial"/>
          <w:szCs w:val="24"/>
        </w:rPr>
        <w:t xml:space="preserve"> </w:t>
      </w:r>
      <w:r w:rsidRPr="0099699C">
        <w:rPr>
          <w:rFonts w:ascii="Arial" w:hAnsi="Arial" w:cs="Arial"/>
          <w:szCs w:val="24"/>
        </w:rPr>
        <w:t>compared with a budgeted figure of £</w:t>
      </w:r>
      <w:r w:rsidR="00523AF9" w:rsidRPr="0099699C">
        <w:rPr>
          <w:rFonts w:ascii="Arial" w:hAnsi="Arial" w:cs="Arial"/>
          <w:szCs w:val="24"/>
        </w:rPr>
        <w:t>1,030,73</w:t>
      </w:r>
      <w:r w:rsidR="00714E94" w:rsidRPr="0099699C">
        <w:rPr>
          <w:rFonts w:ascii="Arial" w:hAnsi="Arial" w:cs="Arial"/>
          <w:szCs w:val="24"/>
        </w:rPr>
        <w:t>5</w:t>
      </w:r>
      <w:r w:rsidR="0074154E" w:rsidRPr="0099699C">
        <w:rPr>
          <w:rFonts w:ascii="Arial" w:hAnsi="Arial" w:cs="Arial"/>
          <w:szCs w:val="24"/>
        </w:rPr>
        <w:t>, resulting in an underspend of £</w:t>
      </w:r>
      <w:r w:rsidR="0099699C" w:rsidRPr="0099699C">
        <w:rPr>
          <w:rFonts w:ascii="Arial" w:hAnsi="Arial" w:cs="Arial"/>
          <w:szCs w:val="24"/>
        </w:rPr>
        <w:t>292,466</w:t>
      </w:r>
      <w:r w:rsidR="0074154E" w:rsidRPr="0099699C">
        <w:rPr>
          <w:rFonts w:ascii="Arial" w:hAnsi="Arial" w:cs="Arial"/>
          <w:szCs w:val="24"/>
        </w:rPr>
        <w:t>.</w:t>
      </w:r>
    </w:p>
    <w:p w14:paraId="50F66ED9" w14:textId="77777777" w:rsidR="00772C76" w:rsidRPr="0099699C" w:rsidRDefault="00E66B68" w:rsidP="000F5A04">
      <w:pPr>
        <w:pStyle w:val="BodyTextIndent"/>
        <w:ind w:left="709" w:firstLine="0"/>
        <w:rPr>
          <w:rFonts w:ascii="Arial" w:hAnsi="Arial" w:cs="Arial"/>
          <w:szCs w:val="24"/>
        </w:rPr>
      </w:pPr>
      <w:r w:rsidRPr="0099699C">
        <w:rPr>
          <w:rFonts w:ascii="Arial" w:hAnsi="Arial" w:cs="Arial"/>
          <w:szCs w:val="24"/>
        </w:rPr>
        <w:t>Appendix 1 column C, E &amp; F Line 10</w:t>
      </w:r>
    </w:p>
    <w:p w14:paraId="19076DED" w14:textId="77777777" w:rsidR="004E7D4E" w:rsidRPr="0034266B" w:rsidRDefault="004E7D4E" w:rsidP="00BE3C80">
      <w:pPr>
        <w:pStyle w:val="BodyTextIndent"/>
        <w:ind w:left="0" w:firstLine="0"/>
        <w:rPr>
          <w:rFonts w:ascii="Arial" w:hAnsi="Arial"/>
          <w:b/>
          <w:color w:val="FF0000"/>
          <w:szCs w:val="24"/>
        </w:rPr>
      </w:pPr>
    </w:p>
    <w:p w14:paraId="4D10D093" w14:textId="77777777" w:rsidR="00600A7A" w:rsidRPr="0017056F" w:rsidRDefault="00600A7A" w:rsidP="00BE3C80">
      <w:pPr>
        <w:pStyle w:val="BodyTextIndent"/>
        <w:ind w:left="0" w:firstLine="0"/>
        <w:rPr>
          <w:rFonts w:ascii="Arial" w:hAnsi="Arial"/>
          <w:b/>
          <w:szCs w:val="24"/>
        </w:rPr>
      </w:pPr>
    </w:p>
    <w:p w14:paraId="191E6914" w14:textId="77777777" w:rsidR="00772C76" w:rsidRPr="0017056F" w:rsidRDefault="00772C76" w:rsidP="008A703C">
      <w:pPr>
        <w:pStyle w:val="BodyTextIndent"/>
        <w:ind w:left="709" w:hanging="709"/>
        <w:rPr>
          <w:rFonts w:ascii="Arial" w:hAnsi="Arial"/>
          <w:b/>
          <w:szCs w:val="24"/>
        </w:rPr>
      </w:pPr>
      <w:r w:rsidRPr="0017056F">
        <w:rPr>
          <w:rFonts w:ascii="Arial" w:hAnsi="Arial"/>
          <w:b/>
          <w:szCs w:val="24"/>
        </w:rPr>
        <w:t>6.0</w:t>
      </w:r>
      <w:r w:rsidRPr="0017056F">
        <w:rPr>
          <w:rFonts w:ascii="Arial" w:hAnsi="Arial"/>
          <w:b/>
          <w:szCs w:val="24"/>
        </w:rPr>
        <w:tab/>
        <w:t>Balance Sheet</w:t>
      </w:r>
    </w:p>
    <w:p w14:paraId="3EB1D74B" w14:textId="77777777" w:rsidR="00772C76" w:rsidRPr="0017056F" w:rsidRDefault="00772C76">
      <w:pPr>
        <w:pStyle w:val="BodyTextIndent"/>
        <w:rPr>
          <w:rFonts w:ascii="Arial" w:hAnsi="Arial"/>
          <w:b/>
          <w:szCs w:val="24"/>
        </w:rPr>
      </w:pPr>
    </w:p>
    <w:p w14:paraId="479D2679" w14:textId="77777777" w:rsidR="00772C76" w:rsidRPr="0017056F" w:rsidRDefault="00772C76" w:rsidP="00BB6C0D">
      <w:pPr>
        <w:pStyle w:val="BodyTextIndent"/>
        <w:numPr>
          <w:ilvl w:val="1"/>
          <w:numId w:val="3"/>
        </w:numPr>
        <w:rPr>
          <w:rFonts w:ascii="Arial" w:hAnsi="Arial"/>
          <w:szCs w:val="24"/>
        </w:rPr>
      </w:pPr>
      <w:r w:rsidRPr="0017056F">
        <w:rPr>
          <w:rFonts w:ascii="Arial" w:hAnsi="Arial"/>
          <w:szCs w:val="24"/>
        </w:rPr>
        <w:t xml:space="preserve">The Balance Sheet is attached at Appendix </w:t>
      </w:r>
      <w:r w:rsidR="00E66B68" w:rsidRPr="0017056F">
        <w:rPr>
          <w:rFonts w:ascii="Arial" w:hAnsi="Arial"/>
          <w:szCs w:val="24"/>
        </w:rPr>
        <w:t>4</w:t>
      </w:r>
    </w:p>
    <w:p w14:paraId="72D9BBB5" w14:textId="77777777" w:rsidR="00E17258" w:rsidRPr="0017056F" w:rsidRDefault="00772C76" w:rsidP="008A703C">
      <w:pPr>
        <w:pStyle w:val="BodyTextIndent"/>
        <w:ind w:left="0" w:firstLine="0"/>
        <w:rPr>
          <w:rFonts w:ascii="Arial" w:hAnsi="Arial"/>
          <w:szCs w:val="24"/>
        </w:rPr>
      </w:pPr>
      <w:r w:rsidRPr="0017056F">
        <w:rPr>
          <w:rFonts w:ascii="Arial" w:hAnsi="Arial"/>
          <w:szCs w:val="24"/>
        </w:rPr>
        <w:t xml:space="preserve"> </w:t>
      </w:r>
    </w:p>
    <w:p w14:paraId="26030119" w14:textId="5691213F" w:rsidR="00772C76" w:rsidRPr="0099699C" w:rsidRDefault="00772C76" w:rsidP="00372CFA">
      <w:pPr>
        <w:pStyle w:val="BodyTextIndent"/>
        <w:numPr>
          <w:ilvl w:val="1"/>
          <w:numId w:val="3"/>
        </w:numPr>
        <w:ind w:left="0" w:firstLine="0"/>
        <w:rPr>
          <w:rFonts w:ascii="Arial" w:hAnsi="Arial"/>
          <w:szCs w:val="24"/>
        </w:rPr>
      </w:pPr>
      <w:r w:rsidRPr="0099699C">
        <w:rPr>
          <w:rFonts w:ascii="Arial" w:hAnsi="Arial"/>
          <w:szCs w:val="24"/>
        </w:rPr>
        <w:t xml:space="preserve">As at </w:t>
      </w:r>
      <w:r w:rsidR="001C62EF" w:rsidRPr="0099699C">
        <w:rPr>
          <w:rFonts w:ascii="Arial" w:hAnsi="Arial"/>
          <w:szCs w:val="24"/>
        </w:rPr>
        <w:t>3</w:t>
      </w:r>
      <w:r w:rsidR="0034266B" w:rsidRPr="0099699C">
        <w:rPr>
          <w:rFonts w:ascii="Arial" w:hAnsi="Arial"/>
          <w:szCs w:val="24"/>
        </w:rPr>
        <w:t>1 December</w:t>
      </w:r>
      <w:r w:rsidR="00523AF9" w:rsidRPr="0099699C">
        <w:rPr>
          <w:rFonts w:ascii="Arial" w:hAnsi="Arial"/>
          <w:szCs w:val="24"/>
        </w:rPr>
        <w:t xml:space="preserve"> 2021</w:t>
      </w:r>
      <w:r w:rsidRPr="0099699C">
        <w:rPr>
          <w:rFonts w:ascii="Arial" w:hAnsi="Arial"/>
          <w:szCs w:val="24"/>
        </w:rPr>
        <w:t>:</w:t>
      </w:r>
    </w:p>
    <w:p w14:paraId="5C4DD6C0" w14:textId="0492DA61" w:rsidR="00772C76" w:rsidRPr="0099699C" w:rsidRDefault="00772C76" w:rsidP="008B7B15">
      <w:pPr>
        <w:pStyle w:val="BodyTextIndent"/>
        <w:numPr>
          <w:ilvl w:val="0"/>
          <w:numId w:val="7"/>
        </w:numPr>
        <w:rPr>
          <w:rFonts w:ascii="Arial" w:hAnsi="Arial"/>
          <w:szCs w:val="24"/>
        </w:rPr>
      </w:pPr>
      <w:r w:rsidRPr="0099699C">
        <w:rPr>
          <w:rFonts w:ascii="Arial" w:hAnsi="Arial"/>
          <w:szCs w:val="24"/>
        </w:rPr>
        <w:t xml:space="preserve">Our Fixed Assets (Housing, Office, and Office Equipment &amp; </w:t>
      </w:r>
      <w:r w:rsidR="00401474" w:rsidRPr="0099699C">
        <w:rPr>
          <w:rFonts w:ascii="Arial" w:hAnsi="Arial"/>
          <w:szCs w:val="24"/>
        </w:rPr>
        <w:t>Investm</w:t>
      </w:r>
      <w:r w:rsidR="0069271F" w:rsidRPr="0099699C">
        <w:rPr>
          <w:rFonts w:ascii="Arial" w:hAnsi="Arial"/>
          <w:szCs w:val="24"/>
        </w:rPr>
        <w:t>ents) were valued at £</w:t>
      </w:r>
      <w:r w:rsidR="0099699C" w:rsidRPr="0099699C">
        <w:rPr>
          <w:rFonts w:ascii="Arial" w:hAnsi="Arial"/>
          <w:szCs w:val="24"/>
        </w:rPr>
        <w:t>53,460,196</w:t>
      </w:r>
      <w:r w:rsidRPr="0099699C">
        <w:rPr>
          <w:rFonts w:ascii="Arial" w:hAnsi="Arial"/>
          <w:szCs w:val="24"/>
        </w:rPr>
        <w:t xml:space="preserve"> - column B, line 11.</w:t>
      </w:r>
    </w:p>
    <w:p w14:paraId="31346635" w14:textId="13C851C9" w:rsidR="00772C76" w:rsidRPr="0099699C" w:rsidRDefault="00772C76" w:rsidP="008B7B15">
      <w:pPr>
        <w:pStyle w:val="BodyTextIndent"/>
        <w:numPr>
          <w:ilvl w:val="0"/>
          <w:numId w:val="7"/>
        </w:numPr>
        <w:rPr>
          <w:rFonts w:ascii="Arial" w:hAnsi="Arial"/>
          <w:szCs w:val="24"/>
        </w:rPr>
      </w:pPr>
      <w:r w:rsidRPr="0099699C">
        <w:rPr>
          <w:rFonts w:ascii="Arial" w:hAnsi="Arial"/>
          <w:szCs w:val="24"/>
        </w:rPr>
        <w:t>We have £</w:t>
      </w:r>
      <w:r w:rsidR="0099699C" w:rsidRPr="0099699C">
        <w:rPr>
          <w:rFonts w:ascii="Arial" w:hAnsi="Arial"/>
          <w:szCs w:val="24"/>
        </w:rPr>
        <w:t>5.36</w:t>
      </w:r>
      <w:r w:rsidR="00BA560D" w:rsidRPr="0099699C">
        <w:rPr>
          <w:rFonts w:ascii="Arial" w:hAnsi="Arial"/>
          <w:szCs w:val="24"/>
        </w:rPr>
        <w:t xml:space="preserve"> </w:t>
      </w:r>
      <w:r w:rsidRPr="0099699C">
        <w:rPr>
          <w:rFonts w:ascii="Arial" w:hAnsi="Arial"/>
          <w:szCs w:val="24"/>
        </w:rPr>
        <w:t xml:space="preserve">of Current Assets for every £1 of Current Liabilities.  </w:t>
      </w:r>
    </w:p>
    <w:p w14:paraId="4241CCA8" w14:textId="1FDCE711" w:rsidR="00772C76" w:rsidRPr="0099699C" w:rsidRDefault="00772C76" w:rsidP="008B7B15">
      <w:pPr>
        <w:pStyle w:val="BodyTextIndent"/>
        <w:numPr>
          <w:ilvl w:val="0"/>
          <w:numId w:val="7"/>
        </w:numPr>
        <w:rPr>
          <w:rFonts w:ascii="Arial" w:hAnsi="Arial"/>
          <w:szCs w:val="24"/>
        </w:rPr>
      </w:pPr>
      <w:r w:rsidRPr="0099699C">
        <w:rPr>
          <w:rFonts w:ascii="Arial" w:hAnsi="Arial"/>
          <w:szCs w:val="24"/>
        </w:rPr>
        <w:t>Our cash balances totalled £</w:t>
      </w:r>
      <w:r w:rsidR="0099699C" w:rsidRPr="0099699C">
        <w:rPr>
          <w:rFonts w:ascii="Arial" w:hAnsi="Arial"/>
          <w:szCs w:val="24"/>
        </w:rPr>
        <w:t>6,800,781</w:t>
      </w:r>
      <w:r w:rsidRPr="0099699C">
        <w:rPr>
          <w:rFonts w:ascii="Arial" w:hAnsi="Arial"/>
          <w:szCs w:val="24"/>
        </w:rPr>
        <w:t xml:space="preserve"> - column B, line 17.</w:t>
      </w:r>
    </w:p>
    <w:p w14:paraId="715514DB" w14:textId="36011E5F" w:rsidR="00772C76" w:rsidRPr="0099699C" w:rsidRDefault="00772C76" w:rsidP="008B7B15">
      <w:pPr>
        <w:pStyle w:val="BodyTextIndent"/>
        <w:numPr>
          <w:ilvl w:val="0"/>
          <w:numId w:val="7"/>
        </w:numPr>
        <w:rPr>
          <w:rFonts w:ascii="Arial" w:hAnsi="Arial"/>
          <w:szCs w:val="24"/>
        </w:rPr>
      </w:pPr>
      <w:r w:rsidRPr="0099699C">
        <w:rPr>
          <w:rFonts w:ascii="Arial" w:hAnsi="Arial"/>
          <w:szCs w:val="24"/>
        </w:rPr>
        <w:t>Our long-term creditors (all bank loans</w:t>
      </w:r>
      <w:r w:rsidR="00BA560D" w:rsidRPr="0099699C">
        <w:rPr>
          <w:rFonts w:ascii="Arial" w:hAnsi="Arial"/>
          <w:szCs w:val="24"/>
        </w:rPr>
        <w:t xml:space="preserve">, </w:t>
      </w:r>
      <w:r w:rsidR="00F968FA" w:rsidRPr="0099699C">
        <w:rPr>
          <w:rFonts w:ascii="Arial" w:hAnsi="Arial"/>
          <w:szCs w:val="24"/>
        </w:rPr>
        <w:t>pensions’</w:t>
      </w:r>
      <w:r w:rsidR="00BA560D" w:rsidRPr="0099699C">
        <w:rPr>
          <w:rFonts w:ascii="Arial" w:hAnsi="Arial"/>
          <w:szCs w:val="24"/>
        </w:rPr>
        <w:t xml:space="preserve"> liability &amp; SHG</w:t>
      </w:r>
      <w:r w:rsidRPr="0099699C">
        <w:rPr>
          <w:rFonts w:ascii="Arial" w:hAnsi="Arial"/>
          <w:szCs w:val="24"/>
        </w:rPr>
        <w:t>) totalled £</w:t>
      </w:r>
      <w:r w:rsidR="0099699C" w:rsidRPr="0099699C">
        <w:rPr>
          <w:rFonts w:ascii="Arial" w:hAnsi="Arial"/>
          <w:szCs w:val="24"/>
        </w:rPr>
        <w:t>35,881,358</w:t>
      </w:r>
      <w:r w:rsidR="00253E7F" w:rsidRPr="0099699C">
        <w:rPr>
          <w:rFonts w:ascii="Arial" w:hAnsi="Arial"/>
          <w:szCs w:val="24"/>
        </w:rPr>
        <w:t xml:space="preserve"> </w:t>
      </w:r>
      <w:r w:rsidRPr="0099699C">
        <w:rPr>
          <w:rFonts w:ascii="Arial" w:hAnsi="Arial"/>
          <w:szCs w:val="24"/>
        </w:rPr>
        <w:t>column B, line 2</w:t>
      </w:r>
      <w:r w:rsidR="00BA560D" w:rsidRPr="0099699C">
        <w:rPr>
          <w:rFonts w:ascii="Arial" w:hAnsi="Arial"/>
          <w:szCs w:val="24"/>
        </w:rPr>
        <w:t>7</w:t>
      </w:r>
      <w:r w:rsidRPr="0099699C">
        <w:rPr>
          <w:rFonts w:ascii="Arial" w:hAnsi="Arial"/>
          <w:szCs w:val="24"/>
        </w:rPr>
        <w:t>.</w:t>
      </w:r>
    </w:p>
    <w:p w14:paraId="680E0EDE" w14:textId="0F76A2CB" w:rsidR="00BA560D" w:rsidRPr="0099699C" w:rsidRDefault="00772C76" w:rsidP="00BA560D">
      <w:pPr>
        <w:pStyle w:val="BodyTextIndent"/>
        <w:numPr>
          <w:ilvl w:val="0"/>
          <w:numId w:val="7"/>
        </w:numPr>
        <w:rPr>
          <w:rFonts w:ascii="Arial" w:hAnsi="Arial"/>
          <w:szCs w:val="24"/>
        </w:rPr>
      </w:pPr>
      <w:r w:rsidRPr="0099699C">
        <w:rPr>
          <w:rFonts w:ascii="Arial" w:hAnsi="Arial"/>
          <w:szCs w:val="24"/>
        </w:rPr>
        <w:t>Our Total Capital &amp; Reserves are £</w:t>
      </w:r>
      <w:r w:rsidR="0099699C" w:rsidRPr="0099699C">
        <w:rPr>
          <w:rFonts w:ascii="Arial" w:hAnsi="Arial"/>
          <w:szCs w:val="24"/>
        </w:rPr>
        <w:t>23,288,503</w:t>
      </w:r>
      <w:r w:rsidR="00523AF9" w:rsidRPr="0099699C">
        <w:rPr>
          <w:rFonts w:ascii="Arial" w:hAnsi="Arial"/>
          <w:szCs w:val="24"/>
        </w:rPr>
        <w:t xml:space="preserve"> </w:t>
      </w:r>
      <w:r w:rsidRPr="0099699C">
        <w:rPr>
          <w:rFonts w:ascii="Arial" w:hAnsi="Arial"/>
          <w:szCs w:val="24"/>
        </w:rPr>
        <w:t>- column B line 3</w:t>
      </w:r>
      <w:r w:rsidR="00BA560D" w:rsidRPr="0099699C">
        <w:rPr>
          <w:rFonts w:ascii="Arial" w:hAnsi="Arial"/>
          <w:szCs w:val="24"/>
        </w:rPr>
        <w:t>2</w:t>
      </w:r>
      <w:r w:rsidRPr="0099699C">
        <w:rPr>
          <w:rFonts w:ascii="Arial" w:hAnsi="Arial"/>
          <w:szCs w:val="24"/>
        </w:rPr>
        <w:t>.</w:t>
      </w:r>
    </w:p>
    <w:p w14:paraId="7E5D377B" w14:textId="0D6703E4" w:rsidR="00BA560D" w:rsidRPr="0099699C" w:rsidRDefault="00BA560D" w:rsidP="00BA560D">
      <w:pPr>
        <w:pStyle w:val="BodyTextIndent"/>
        <w:numPr>
          <w:ilvl w:val="0"/>
          <w:numId w:val="7"/>
        </w:numPr>
        <w:rPr>
          <w:rFonts w:ascii="Arial" w:hAnsi="Arial"/>
          <w:szCs w:val="24"/>
        </w:rPr>
      </w:pPr>
      <w:r w:rsidRPr="0099699C">
        <w:rPr>
          <w:rFonts w:ascii="Arial" w:hAnsi="Arial"/>
          <w:szCs w:val="24"/>
        </w:rPr>
        <w:t>Fixed assets and</w:t>
      </w:r>
      <w:r w:rsidR="00127949" w:rsidRPr="0099699C">
        <w:rPr>
          <w:rFonts w:ascii="Arial" w:hAnsi="Arial"/>
          <w:szCs w:val="24"/>
        </w:rPr>
        <w:t xml:space="preserve"> </w:t>
      </w:r>
      <w:r w:rsidRPr="0099699C">
        <w:rPr>
          <w:rFonts w:ascii="Arial" w:hAnsi="Arial"/>
          <w:szCs w:val="24"/>
        </w:rPr>
        <w:t xml:space="preserve">Long </w:t>
      </w:r>
      <w:r w:rsidR="00127949" w:rsidRPr="0099699C">
        <w:rPr>
          <w:rFonts w:ascii="Arial" w:hAnsi="Arial"/>
          <w:szCs w:val="24"/>
        </w:rPr>
        <w:t>T</w:t>
      </w:r>
      <w:r w:rsidRPr="0099699C">
        <w:rPr>
          <w:rFonts w:ascii="Arial" w:hAnsi="Arial"/>
          <w:szCs w:val="24"/>
        </w:rPr>
        <w:t xml:space="preserve">erm </w:t>
      </w:r>
      <w:r w:rsidR="00127949" w:rsidRPr="0099699C">
        <w:rPr>
          <w:rFonts w:ascii="Arial" w:hAnsi="Arial"/>
          <w:szCs w:val="24"/>
        </w:rPr>
        <w:t>C</w:t>
      </w:r>
      <w:r w:rsidRPr="0099699C">
        <w:rPr>
          <w:rFonts w:ascii="Arial" w:hAnsi="Arial"/>
          <w:szCs w:val="24"/>
        </w:rPr>
        <w:t>reditors reflect that SHG is now shown as deferred income in long term creditors.</w:t>
      </w:r>
    </w:p>
    <w:p w14:paraId="59266BE8" w14:textId="77777777" w:rsidR="004955D8" w:rsidRPr="0034266B" w:rsidRDefault="004955D8" w:rsidP="007A2014">
      <w:pPr>
        <w:pStyle w:val="BodyTextIndent"/>
        <w:ind w:left="709" w:hanging="709"/>
        <w:rPr>
          <w:rFonts w:ascii="Arial" w:hAnsi="Arial"/>
          <w:b/>
          <w:color w:val="FF0000"/>
          <w:szCs w:val="24"/>
        </w:rPr>
      </w:pPr>
    </w:p>
    <w:p w14:paraId="320697CC" w14:textId="77777777" w:rsidR="004955D8" w:rsidRDefault="004955D8" w:rsidP="007A2014">
      <w:pPr>
        <w:pStyle w:val="BodyTextIndent"/>
        <w:ind w:left="709" w:hanging="709"/>
        <w:rPr>
          <w:rFonts w:ascii="Arial" w:hAnsi="Arial"/>
          <w:b/>
          <w:szCs w:val="24"/>
        </w:rPr>
      </w:pPr>
    </w:p>
    <w:p w14:paraId="36411B7C" w14:textId="77777777" w:rsidR="0034648B" w:rsidRDefault="0034648B" w:rsidP="007A2014">
      <w:pPr>
        <w:pStyle w:val="BodyTextIndent"/>
        <w:ind w:left="709" w:hanging="709"/>
        <w:rPr>
          <w:rFonts w:ascii="Arial" w:hAnsi="Arial"/>
          <w:b/>
          <w:szCs w:val="24"/>
        </w:rPr>
      </w:pPr>
    </w:p>
    <w:p w14:paraId="7AC83963" w14:textId="77777777" w:rsidR="0034648B" w:rsidRDefault="0034648B" w:rsidP="007A2014">
      <w:pPr>
        <w:pStyle w:val="BodyTextIndent"/>
        <w:ind w:left="709" w:hanging="709"/>
        <w:rPr>
          <w:rFonts w:ascii="Arial" w:hAnsi="Arial"/>
          <w:b/>
          <w:szCs w:val="24"/>
        </w:rPr>
      </w:pPr>
    </w:p>
    <w:p w14:paraId="6E4E86E5" w14:textId="77777777" w:rsidR="0034648B" w:rsidRDefault="0034648B" w:rsidP="007A2014">
      <w:pPr>
        <w:pStyle w:val="BodyTextIndent"/>
        <w:ind w:left="709" w:hanging="709"/>
        <w:rPr>
          <w:rFonts w:ascii="Arial" w:hAnsi="Arial"/>
          <w:b/>
          <w:szCs w:val="24"/>
        </w:rPr>
      </w:pPr>
    </w:p>
    <w:p w14:paraId="5599E9AA" w14:textId="77777777" w:rsidR="0034648B" w:rsidRPr="0017056F" w:rsidRDefault="0034648B" w:rsidP="007A2014">
      <w:pPr>
        <w:pStyle w:val="BodyTextIndent"/>
        <w:ind w:left="709" w:hanging="709"/>
        <w:rPr>
          <w:rFonts w:ascii="Arial" w:hAnsi="Arial"/>
          <w:b/>
          <w:szCs w:val="24"/>
        </w:rPr>
      </w:pPr>
    </w:p>
    <w:p w14:paraId="41FA31E5" w14:textId="77777777" w:rsidR="00772C76" w:rsidRPr="0017056F" w:rsidRDefault="00772C76" w:rsidP="007A2014">
      <w:pPr>
        <w:pStyle w:val="BodyTextIndent"/>
        <w:ind w:left="709" w:hanging="709"/>
        <w:rPr>
          <w:rFonts w:ascii="Arial" w:hAnsi="Arial"/>
          <w:b/>
          <w:szCs w:val="24"/>
        </w:rPr>
      </w:pPr>
      <w:r w:rsidRPr="0017056F">
        <w:rPr>
          <w:rFonts w:ascii="Arial" w:hAnsi="Arial"/>
          <w:b/>
          <w:szCs w:val="24"/>
        </w:rPr>
        <w:t>7.0</w:t>
      </w:r>
      <w:r w:rsidRPr="0017056F">
        <w:rPr>
          <w:rFonts w:ascii="Arial" w:hAnsi="Arial"/>
          <w:b/>
          <w:szCs w:val="24"/>
        </w:rPr>
        <w:tab/>
        <w:t>Cashflow Statement</w:t>
      </w:r>
    </w:p>
    <w:p w14:paraId="3658EE4A" w14:textId="77777777" w:rsidR="00772C76" w:rsidRPr="0017056F" w:rsidRDefault="00772C76">
      <w:pPr>
        <w:pStyle w:val="BodyTextIndent"/>
        <w:rPr>
          <w:rFonts w:ascii="Arial" w:hAnsi="Arial"/>
          <w:b/>
          <w:szCs w:val="24"/>
        </w:rPr>
      </w:pPr>
    </w:p>
    <w:p w14:paraId="0CBA6D65" w14:textId="2219D8EA" w:rsidR="00754FE5" w:rsidRPr="0034266B" w:rsidRDefault="00772C76" w:rsidP="003051E8">
      <w:pPr>
        <w:pStyle w:val="BodyTextIndent"/>
        <w:ind w:left="709" w:hanging="709"/>
        <w:rPr>
          <w:rFonts w:ascii="Arial" w:hAnsi="Arial"/>
          <w:color w:val="FF0000"/>
          <w:szCs w:val="24"/>
        </w:rPr>
      </w:pPr>
      <w:r w:rsidRPr="0017056F">
        <w:rPr>
          <w:rFonts w:ascii="Arial" w:hAnsi="Arial"/>
          <w:szCs w:val="24"/>
        </w:rPr>
        <w:t>7.1</w:t>
      </w:r>
      <w:r w:rsidRPr="0017056F">
        <w:rPr>
          <w:rFonts w:ascii="Arial" w:hAnsi="Arial"/>
          <w:szCs w:val="24"/>
        </w:rPr>
        <w:tab/>
        <w:t xml:space="preserve">The Cashflow Statement in Appendix </w:t>
      </w:r>
      <w:r w:rsidR="00E66B68" w:rsidRPr="0017056F">
        <w:rPr>
          <w:rFonts w:ascii="Arial" w:hAnsi="Arial"/>
          <w:szCs w:val="24"/>
        </w:rPr>
        <w:t>5</w:t>
      </w:r>
      <w:r w:rsidRPr="0017056F">
        <w:rPr>
          <w:rFonts w:ascii="Arial" w:hAnsi="Arial"/>
          <w:szCs w:val="24"/>
        </w:rPr>
        <w:t xml:space="preserve"> explains the actual movement of cash making up the actual cash balance as at </w:t>
      </w:r>
      <w:r w:rsidR="003051E8" w:rsidRPr="0017056F">
        <w:rPr>
          <w:rFonts w:ascii="Arial" w:hAnsi="Arial"/>
          <w:szCs w:val="24"/>
        </w:rPr>
        <w:t>3</w:t>
      </w:r>
      <w:r w:rsidR="0034266B">
        <w:rPr>
          <w:rFonts w:ascii="Arial" w:hAnsi="Arial"/>
          <w:szCs w:val="24"/>
        </w:rPr>
        <w:t xml:space="preserve">1 December </w:t>
      </w:r>
      <w:r w:rsidR="003051E8" w:rsidRPr="0017056F">
        <w:rPr>
          <w:rFonts w:ascii="Arial" w:hAnsi="Arial"/>
          <w:szCs w:val="24"/>
        </w:rPr>
        <w:t xml:space="preserve">2021 </w:t>
      </w:r>
      <w:r w:rsidRPr="0017056F">
        <w:rPr>
          <w:rFonts w:ascii="Arial" w:hAnsi="Arial"/>
          <w:szCs w:val="24"/>
        </w:rPr>
        <w:t xml:space="preserve">of </w:t>
      </w:r>
      <w:r w:rsidRPr="0099699C">
        <w:rPr>
          <w:rFonts w:ascii="Arial" w:hAnsi="Arial"/>
          <w:szCs w:val="24"/>
        </w:rPr>
        <w:t>£</w:t>
      </w:r>
      <w:r w:rsidR="0099699C" w:rsidRPr="0099699C">
        <w:rPr>
          <w:rFonts w:ascii="Arial" w:hAnsi="Arial"/>
          <w:szCs w:val="24"/>
        </w:rPr>
        <w:t>6,800,781</w:t>
      </w:r>
      <w:r w:rsidR="000F6611" w:rsidRPr="0099699C">
        <w:rPr>
          <w:rFonts w:ascii="Arial" w:hAnsi="Arial"/>
          <w:szCs w:val="24"/>
        </w:rPr>
        <w:t>.</w:t>
      </w:r>
    </w:p>
    <w:p w14:paraId="09879967" w14:textId="77777777" w:rsidR="00754FE5" w:rsidRDefault="00754FE5" w:rsidP="00127949">
      <w:pPr>
        <w:pStyle w:val="BodyTextIndent"/>
        <w:ind w:left="0" w:firstLine="0"/>
        <w:rPr>
          <w:rFonts w:ascii="Arial" w:hAnsi="Arial"/>
          <w:szCs w:val="24"/>
        </w:rPr>
      </w:pPr>
    </w:p>
    <w:p w14:paraId="0CA5FCF2" w14:textId="77777777" w:rsidR="0034648B" w:rsidRPr="0017056F" w:rsidRDefault="0034648B" w:rsidP="00127949">
      <w:pPr>
        <w:pStyle w:val="BodyTextIndent"/>
        <w:ind w:left="0" w:firstLine="0"/>
        <w:rPr>
          <w:rFonts w:ascii="Arial" w:hAnsi="Arial"/>
          <w:szCs w:val="24"/>
        </w:rPr>
      </w:pPr>
    </w:p>
    <w:p w14:paraId="3214A743" w14:textId="77777777" w:rsidR="001D3C6D" w:rsidRPr="0017056F" w:rsidRDefault="001D3C6D" w:rsidP="001D3C6D">
      <w:pPr>
        <w:pStyle w:val="BodyTextIndent"/>
        <w:ind w:left="709" w:hanging="709"/>
        <w:rPr>
          <w:rFonts w:ascii="Arial" w:hAnsi="Arial"/>
          <w:b/>
          <w:szCs w:val="24"/>
        </w:rPr>
      </w:pPr>
      <w:r w:rsidRPr="0017056F">
        <w:rPr>
          <w:rFonts w:ascii="Arial" w:hAnsi="Arial"/>
          <w:b/>
          <w:szCs w:val="24"/>
        </w:rPr>
        <w:t>8.0</w:t>
      </w:r>
      <w:r w:rsidRPr="0017056F">
        <w:rPr>
          <w:rFonts w:ascii="Arial" w:hAnsi="Arial"/>
          <w:b/>
          <w:szCs w:val="24"/>
        </w:rPr>
        <w:tab/>
        <w:t>Financial Performance Indicators</w:t>
      </w:r>
    </w:p>
    <w:p w14:paraId="5D617A92" w14:textId="77777777" w:rsidR="001D3C6D" w:rsidRPr="0017056F" w:rsidRDefault="001D3C6D" w:rsidP="001D3C6D">
      <w:pPr>
        <w:pStyle w:val="BodyTextIndent"/>
        <w:ind w:left="709" w:hanging="709"/>
        <w:rPr>
          <w:rFonts w:ascii="Arial" w:hAnsi="Arial"/>
          <w:b/>
          <w:szCs w:val="24"/>
        </w:rPr>
      </w:pPr>
    </w:p>
    <w:p w14:paraId="7FA82CF2" w14:textId="77777777" w:rsidR="001D3C6D" w:rsidRPr="0017056F" w:rsidRDefault="001D3C6D" w:rsidP="001D3C6D">
      <w:pPr>
        <w:pStyle w:val="BodyTextIndent"/>
        <w:ind w:left="709" w:hanging="709"/>
        <w:rPr>
          <w:rFonts w:ascii="Arial" w:hAnsi="Arial"/>
          <w:szCs w:val="24"/>
        </w:rPr>
      </w:pPr>
      <w:r w:rsidRPr="0017056F">
        <w:rPr>
          <w:rFonts w:ascii="Arial" w:hAnsi="Arial"/>
          <w:szCs w:val="24"/>
        </w:rPr>
        <w:t>8.1</w:t>
      </w:r>
      <w:r w:rsidRPr="0017056F">
        <w:rPr>
          <w:rFonts w:ascii="Arial" w:hAnsi="Arial"/>
          <w:szCs w:val="24"/>
        </w:rPr>
        <w:tab/>
        <w:t>Financial Performance</w:t>
      </w:r>
      <w:r w:rsidR="00FB2D4A" w:rsidRPr="0017056F">
        <w:rPr>
          <w:rFonts w:ascii="Arial" w:hAnsi="Arial"/>
          <w:szCs w:val="24"/>
        </w:rPr>
        <w:t xml:space="preserve"> Indicators assist the Board</w:t>
      </w:r>
      <w:r w:rsidRPr="0017056F">
        <w:rPr>
          <w:rFonts w:ascii="Arial" w:hAnsi="Arial"/>
          <w:szCs w:val="24"/>
        </w:rPr>
        <w:t xml:space="preserve"> to monitor various aspects of our financial performance. See appendix 6.</w:t>
      </w:r>
    </w:p>
    <w:p w14:paraId="71D12E0E" w14:textId="77777777" w:rsidR="001D3C6D" w:rsidRPr="0017056F" w:rsidRDefault="001D3C6D" w:rsidP="001D3C6D">
      <w:pPr>
        <w:pStyle w:val="BodyTextIndent"/>
        <w:ind w:left="0" w:firstLine="0"/>
        <w:rPr>
          <w:rFonts w:ascii="Arial" w:hAnsi="Arial"/>
          <w:szCs w:val="24"/>
        </w:rPr>
      </w:pPr>
    </w:p>
    <w:p w14:paraId="00E0CFE4" w14:textId="77777777" w:rsidR="001D3C6D" w:rsidRPr="0017056F" w:rsidRDefault="00FB2D4A" w:rsidP="001D3C6D">
      <w:pPr>
        <w:pStyle w:val="BodyTextIndent"/>
        <w:numPr>
          <w:ilvl w:val="1"/>
          <w:numId w:val="6"/>
        </w:numPr>
        <w:tabs>
          <w:tab w:val="clear" w:pos="360"/>
        </w:tabs>
        <w:ind w:left="709" w:hanging="709"/>
        <w:rPr>
          <w:rFonts w:ascii="Arial" w:hAnsi="Arial"/>
          <w:szCs w:val="24"/>
        </w:rPr>
      </w:pPr>
      <w:r w:rsidRPr="0017056F">
        <w:rPr>
          <w:rFonts w:ascii="Arial" w:hAnsi="Arial"/>
          <w:szCs w:val="24"/>
        </w:rPr>
        <w:t>The Board</w:t>
      </w:r>
      <w:r w:rsidR="001D3C6D" w:rsidRPr="0017056F">
        <w:rPr>
          <w:rFonts w:ascii="Arial" w:hAnsi="Arial"/>
          <w:szCs w:val="24"/>
        </w:rPr>
        <w:t xml:space="preserve"> should note however they are indicators only to highlight possible issues. There may be good reasons why we are performing as we are e.g. a high quick ratio because we have a high cash balance as we are about to carry out a large major repairs contract.</w:t>
      </w:r>
    </w:p>
    <w:p w14:paraId="56E58FC0" w14:textId="77777777" w:rsidR="0034648B" w:rsidRPr="0017056F" w:rsidRDefault="0034648B" w:rsidP="00127949">
      <w:pPr>
        <w:pStyle w:val="BodyTextIndent"/>
        <w:ind w:left="0" w:firstLine="0"/>
        <w:rPr>
          <w:rFonts w:ascii="Arial" w:hAnsi="Arial"/>
          <w:b/>
          <w:szCs w:val="24"/>
        </w:rPr>
      </w:pPr>
    </w:p>
    <w:p w14:paraId="038F277C" w14:textId="77777777" w:rsidR="00D74D53" w:rsidRPr="0017056F" w:rsidRDefault="00D74D53" w:rsidP="001D3C6D">
      <w:pPr>
        <w:pStyle w:val="BodyTextIndent"/>
        <w:ind w:left="709" w:hanging="709"/>
        <w:rPr>
          <w:rFonts w:ascii="Arial" w:hAnsi="Arial"/>
          <w:b/>
          <w:szCs w:val="24"/>
        </w:rPr>
      </w:pPr>
    </w:p>
    <w:p w14:paraId="25EA6C68" w14:textId="77777777" w:rsidR="001D3C6D" w:rsidRPr="0017056F" w:rsidRDefault="001D3C6D" w:rsidP="001D3C6D">
      <w:pPr>
        <w:pStyle w:val="BodyTextIndent"/>
        <w:ind w:left="709" w:hanging="709"/>
        <w:rPr>
          <w:rFonts w:ascii="Arial" w:hAnsi="Arial"/>
          <w:b/>
          <w:szCs w:val="24"/>
        </w:rPr>
      </w:pPr>
      <w:r w:rsidRPr="0017056F">
        <w:rPr>
          <w:rFonts w:ascii="Arial" w:hAnsi="Arial"/>
          <w:b/>
          <w:szCs w:val="24"/>
        </w:rPr>
        <w:t>9.0</w:t>
      </w:r>
      <w:r w:rsidRPr="0017056F">
        <w:rPr>
          <w:rFonts w:ascii="Arial" w:hAnsi="Arial"/>
          <w:b/>
          <w:szCs w:val="24"/>
        </w:rPr>
        <w:tab/>
        <w:t>Lenders’ Financial Covenants</w:t>
      </w:r>
    </w:p>
    <w:p w14:paraId="2D4D99A4" w14:textId="77777777" w:rsidR="001D3C6D" w:rsidRPr="0017056F" w:rsidRDefault="001D3C6D" w:rsidP="001D3C6D">
      <w:pPr>
        <w:pStyle w:val="BodyTextIndent"/>
        <w:ind w:left="709" w:hanging="709"/>
        <w:rPr>
          <w:rFonts w:ascii="Arial" w:hAnsi="Arial"/>
          <w:szCs w:val="24"/>
        </w:rPr>
      </w:pPr>
    </w:p>
    <w:p w14:paraId="150BE37A" w14:textId="77777777" w:rsidR="001D3C6D" w:rsidRPr="0017056F" w:rsidRDefault="001D3C6D" w:rsidP="001D3C6D">
      <w:pPr>
        <w:pStyle w:val="BodyTextIndent"/>
        <w:ind w:left="709" w:hanging="709"/>
        <w:rPr>
          <w:rFonts w:ascii="Arial" w:hAnsi="Arial"/>
          <w:szCs w:val="24"/>
        </w:rPr>
      </w:pPr>
      <w:r w:rsidRPr="0017056F">
        <w:rPr>
          <w:rFonts w:ascii="Arial" w:hAnsi="Arial"/>
          <w:szCs w:val="24"/>
        </w:rPr>
        <w:t>9.1</w:t>
      </w:r>
      <w:r w:rsidRPr="0017056F">
        <w:rPr>
          <w:rFonts w:ascii="Arial" w:hAnsi="Arial"/>
          <w:szCs w:val="24"/>
        </w:rPr>
        <w:tab/>
        <w:t xml:space="preserve">As part of the lenders financial covenants of lending, the Association agreed annual financial targets as detailed in appendix 7. </w:t>
      </w:r>
    </w:p>
    <w:p w14:paraId="042269F5" w14:textId="77777777" w:rsidR="001D3C6D" w:rsidRPr="0017056F" w:rsidRDefault="001D3C6D" w:rsidP="001D3C6D">
      <w:pPr>
        <w:pStyle w:val="BodyTextIndent"/>
        <w:ind w:left="709" w:hanging="709"/>
        <w:rPr>
          <w:rFonts w:ascii="Arial" w:hAnsi="Arial"/>
          <w:szCs w:val="24"/>
        </w:rPr>
      </w:pPr>
    </w:p>
    <w:p w14:paraId="37479D0B" w14:textId="77777777" w:rsidR="001D3C6D" w:rsidRPr="0017056F" w:rsidRDefault="001D3C6D" w:rsidP="001D3C6D">
      <w:pPr>
        <w:pStyle w:val="BodyTextIndent"/>
        <w:ind w:left="709" w:hanging="709"/>
        <w:rPr>
          <w:rFonts w:ascii="Arial" w:hAnsi="Arial"/>
          <w:szCs w:val="24"/>
        </w:rPr>
      </w:pPr>
      <w:r w:rsidRPr="0017056F">
        <w:rPr>
          <w:rFonts w:ascii="Arial" w:hAnsi="Arial"/>
          <w:szCs w:val="24"/>
        </w:rPr>
        <w:t xml:space="preserve"> 9.2 </w:t>
      </w:r>
      <w:r w:rsidRPr="0017056F">
        <w:rPr>
          <w:rFonts w:ascii="Arial" w:hAnsi="Arial"/>
          <w:szCs w:val="24"/>
        </w:rPr>
        <w:tab/>
        <w:t>Failure to meet/exceed these targets is a breach of the loan agreements. This could mean the lender requesting immediate repayment of the loan.</w:t>
      </w:r>
    </w:p>
    <w:p w14:paraId="51607BF2" w14:textId="77777777" w:rsidR="001D3C6D" w:rsidRPr="0017056F" w:rsidRDefault="001D3C6D" w:rsidP="001D3C6D">
      <w:pPr>
        <w:pStyle w:val="BodyTextIndent"/>
        <w:ind w:left="709" w:hanging="709"/>
        <w:rPr>
          <w:rFonts w:ascii="Arial" w:hAnsi="Arial"/>
          <w:szCs w:val="24"/>
        </w:rPr>
      </w:pPr>
    </w:p>
    <w:p w14:paraId="711334FA" w14:textId="6DC47A4F" w:rsidR="00875480" w:rsidRPr="0051444C" w:rsidRDefault="001D3C6D" w:rsidP="0051444C">
      <w:pPr>
        <w:pStyle w:val="BodyTextIndent"/>
        <w:ind w:left="709" w:hanging="709"/>
        <w:rPr>
          <w:rFonts w:ascii="Arial" w:hAnsi="Arial"/>
          <w:color w:val="FF0000"/>
          <w:szCs w:val="24"/>
        </w:rPr>
      </w:pPr>
      <w:r w:rsidRPr="0017056F">
        <w:rPr>
          <w:rFonts w:ascii="Arial" w:hAnsi="Arial"/>
          <w:szCs w:val="24"/>
        </w:rPr>
        <w:t>9.3</w:t>
      </w:r>
      <w:r w:rsidRPr="0099699C">
        <w:rPr>
          <w:rFonts w:ascii="Arial" w:hAnsi="Arial"/>
          <w:szCs w:val="24"/>
        </w:rPr>
        <w:tab/>
        <w:t xml:space="preserve">Per Appendix 7 we predict to pass all ratios for the lenders this year.  </w:t>
      </w:r>
    </w:p>
    <w:p w14:paraId="08E44BD1" w14:textId="77777777" w:rsidR="00772C76" w:rsidRPr="0034266B" w:rsidRDefault="00772C76" w:rsidP="008D671A">
      <w:pPr>
        <w:pStyle w:val="BodyTextIndent"/>
        <w:ind w:left="709" w:hanging="709"/>
        <w:rPr>
          <w:rFonts w:ascii="Arial" w:hAnsi="Arial"/>
          <w:color w:val="FF0000"/>
          <w:szCs w:val="24"/>
        </w:rPr>
      </w:pPr>
    </w:p>
    <w:p w14:paraId="393D411B" w14:textId="77777777" w:rsidR="000F6611" w:rsidRPr="0017056F" w:rsidRDefault="000F6611" w:rsidP="008D671A">
      <w:pPr>
        <w:pStyle w:val="BodyTextIndent"/>
        <w:ind w:left="709" w:hanging="709"/>
        <w:rPr>
          <w:rFonts w:ascii="Arial" w:hAnsi="Arial"/>
          <w:szCs w:val="24"/>
        </w:rPr>
      </w:pPr>
    </w:p>
    <w:p w14:paraId="7DF77AC7" w14:textId="77777777" w:rsidR="00772C76" w:rsidRPr="0017056F" w:rsidRDefault="001D3C6D" w:rsidP="008D671A">
      <w:pPr>
        <w:pStyle w:val="BodyTextIndent"/>
        <w:ind w:left="709" w:hanging="709"/>
        <w:rPr>
          <w:rFonts w:ascii="Arial" w:hAnsi="Arial"/>
          <w:b/>
          <w:szCs w:val="24"/>
        </w:rPr>
      </w:pPr>
      <w:r w:rsidRPr="0017056F">
        <w:rPr>
          <w:rFonts w:ascii="Arial" w:hAnsi="Arial"/>
          <w:b/>
          <w:szCs w:val="24"/>
        </w:rPr>
        <w:t>10.0</w:t>
      </w:r>
      <w:r w:rsidR="00772C76" w:rsidRPr="0017056F">
        <w:rPr>
          <w:rFonts w:ascii="Arial" w:hAnsi="Arial"/>
          <w:b/>
          <w:szCs w:val="24"/>
        </w:rPr>
        <w:tab/>
        <w:t>Recommendations</w:t>
      </w:r>
    </w:p>
    <w:p w14:paraId="1A2E198F" w14:textId="77777777" w:rsidR="00BE3C80" w:rsidRPr="0017056F" w:rsidRDefault="00BE3C80" w:rsidP="008D671A">
      <w:pPr>
        <w:pStyle w:val="BodyTextIndent"/>
        <w:ind w:left="709" w:hanging="709"/>
        <w:rPr>
          <w:rFonts w:ascii="Arial" w:hAnsi="Arial"/>
          <w:szCs w:val="24"/>
        </w:rPr>
      </w:pPr>
    </w:p>
    <w:p w14:paraId="759740C3" w14:textId="77777777" w:rsidR="00772C76" w:rsidRPr="0017056F" w:rsidRDefault="001D3C6D" w:rsidP="008E24B3">
      <w:pPr>
        <w:pStyle w:val="BodyTextIndent"/>
        <w:ind w:left="709" w:hanging="709"/>
        <w:jc w:val="left"/>
        <w:rPr>
          <w:rFonts w:ascii="Arial" w:hAnsi="Arial"/>
          <w:sz w:val="22"/>
          <w:szCs w:val="22"/>
        </w:rPr>
        <w:sectPr w:rsidR="00772C76" w:rsidRPr="0017056F" w:rsidSect="00347094">
          <w:footerReference w:type="even" r:id="rId9"/>
          <w:footerReference w:type="default" r:id="rId10"/>
          <w:pgSz w:w="11906" w:h="16838"/>
          <w:pgMar w:top="1134" w:right="1797" w:bottom="1134" w:left="1418" w:header="720" w:footer="720" w:gutter="0"/>
          <w:cols w:space="720"/>
        </w:sectPr>
      </w:pPr>
      <w:r w:rsidRPr="0017056F">
        <w:rPr>
          <w:rFonts w:ascii="Arial" w:hAnsi="Arial"/>
          <w:szCs w:val="24"/>
        </w:rPr>
        <w:t>10.1</w:t>
      </w:r>
      <w:r w:rsidR="00772C76" w:rsidRPr="0017056F">
        <w:rPr>
          <w:rFonts w:ascii="Arial" w:hAnsi="Arial"/>
          <w:szCs w:val="24"/>
        </w:rPr>
        <w:tab/>
        <w:t xml:space="preserve">For the </w:t>
      </w:r>
      <w:r w:rsidR="00E83ACA" w:rsidRPr="0017056F">
        <w:rPr>
          <w:rFonts w:ascii="Arial" w:hAnsi="Arial"/>
          <w:szCs w:val="24"/>
        </w:rPr>
        <w:t>Board</w:t>
      </w:r>
      <w:r w:rsidR="00772C76" w:rsidRPr="0017056F">
        <w:rPr>
          <w:rFonts w:ascii="Arial" w:hAnsi="Arial"/>
          <w:szCs w:val="24"/>
        </w:rPr>
        <w:t xml:space="preserve"> to note the contents of this report</w:t>
      </w:r>
      <w:r w:rsidR="008E24B3" w:rsidRPr="0017056F">
        <w:rPr>
          <w:rFonts w:ascii="Arial" w:hAnsi="Arial"/>
          <w:szCs w:val="24"/>
        </w:rPr>
        <w:t>.</w:t>
      </w:r>
    </w:p>
    <w:p w14:paraId="469C736C" w14:textId="77777777" w:rsidR="001D3C6D" w:rsidRPr="0017056F" w:rsidRDefault="001D3C6D" w:rsidP="001D3C6D">
      <w:pPr>
        <w:pStyle w:val="BodyTextIndent"/>
        <w:rPr>
          <w:rFonts w:ascii="Arial" w:hAnsi="Arial"/>
          <w:b/>
          <w:szCs w:val="24"/>
        </w:rPr>
      </w:pPr>
      <w:r w:rsidRPr="0017056F">
        <w:rPr>
          <w:rFonts w:ascii="Arial" w:hAnsi="Arial"/>
          <w:b/>
          <w:szCs w:val="24"/>
        </w:rPr>
        <w:lastRenderedPageBreak/>
        <w:t>Appendix 7 Financial Covenants</w:t>
      </w:r>
    </w:p>
    <w:p w14:paraId="7B04D65D" w14:textId="77777777" w:rsidR="001D3C6D" w:rsidRPr="0017056F" w:rsidRDefault="001D3C6D" w:rsidP="001D3C6D">
      <w:pPr>
        <w:pStyle w:val="BodyTextIndent"/>
        <w:rPr>
          <w:rFonts w:ascii="Arial" w:hAnsi="Arial"/>
          <w:szCs w:val="24"/>
        </w:rPr>
      </w:pPr>
    </w:p>
    <w:p w14:paraId="03A0AFB7" w14:textId="77777777" w:rsidR="001D3C6D" w:rsidRPr="0017056F" w:rsidRDefault="001D3C6D" w:rsidP="001D3C6D">
      <w:pPr>
        <w:pStyle w:val="BodyTextIndent"/>
        <w:ind w:left="0" w:firstLine="0"/>
        <w:rPr>
          <w:rFonts w:ascii="Arial" w:hAnsi="Arial"/>
          <w:szCs w:val="24"/>
        </w:rPr>
      </w:pPr>
      <w:r w:rsidRPr="0017056F">
        <w:rPr>
          <w:rFonts w:ascii="Arial" w:hAnsi="Arial"/>
          <w:szCs w:val="24"/>
        </w:rPr>
        <w:t xml:space="preserve">The table below indicates the financial targets for </w:t>
      </w:r>
      <w:r w:rsidR="00C053FD" w:rsidRPr="0017056F">
        <w:rPr>
          <w:rFonts w:ascii="Arial" w:hAnsi="Arial"/>
          <w:szCs w:val="24"/>
        </w:rPr>
        <w:t>202</w:t>
      </w:r>
      <w:r w:rsidR="00061641" w:rsidRPr="0017056F">
        <w:rPr>
          <w:rFonts w:ascii="Arial" w:hAnsi="Arial"/>
          <w:szCs w:val="24"/>
        </w:rPr>
        <w:t>1</w:t>
      </w:r>
      <w:r w:rsidR="00C053FD" w:rsidRPr="0017056F">
        <w:rPr>
          <w:rFonts w:ascii="Arial" w:hAnsi="Arial"/>
          <w:szCs w:val="24"/>
        </w:rPr>
        <w:t>/202</w:t>
      </w:r>
      <w:r w:rsidR="00061641" w:rsidRPr="0017056F">
        <w:rPr>
          <w:rFonts w:ascii="Arial" w:hAnsi="Arial"/>
          <w:szCs w:val="24"/>
        </w:rPr>
        <w:t>2</w:t>
      </w:r>
      <w:r w:rsidRPr="0017056F">
        <w:rPr>
          <w:rFonts w:ascii="Arial" w:hAnsi="Arial"/>
          <w:szCs w:val="24"/>
        </w:rPr>
        <w:t xml:space="preserve"> we require to achieve, to meet our financial covenants agreed with the various lenders, against projected out turn for the year to 31 March 20</w:t>
      </w:r>
      <w:r w:rsidR="00C053FD" w:rsidRPr="0017056F">
        <w:rPr>
          <w:rFonts w:ascii="Arial" w:hAnsi="Arial"/>
          <w:szCs w:val="24"/>
        </w:rPr>
        <w:t>2</w:t>
      </w:r>
      <w:r w:rsidR="00061641" w:rsidRPr="0017056F">
        <w:rPr>
          <w:rFonts w:ascii="Arial" w:hAnsi="Arial"/>
          <w:szCs w:val="24"/>
        </w:rPr>
        <w:t>2</w:t>
      </w:r>
      <w:r w:rsidRPr="0017056F">
        <w:rPr>
          <w:rFonts w:ascii="Arial" w:hAnsi="Arial"/>
          <w:szCs w:val="24"/>
        </w:rPr>
        <w:t>.</w:t>
      </w:r>
    </w:p>
    <w:p w14:paraId="4681B1C2" w14:textId="77777777" w:rsidR="00875480" w:rsidRPr="0017056F" w:rsidRDefault="00875480" w:rsidP="001D3C6D">
      <w:pPr>
        <w:pStyle w:val="BodyTextIndent"/>
        <w:ind w:left="0" w:firstLine="0"/>
        <w:rPr>
          <w:rFonts w:ascii="Arial" w:hAnsi="Arial"/>
          <w:szCs w:val="24"/>
        </w:rPr>
      </w:pPr>
    </w:p>
    <w:p w14:paraId="788D34BE" w14:textId="77777777" w:rsidR="001D3C6D" w:rsidRPr="0017056F" w:rsidRDefault="001D3C6D" w:rsidP="001D3C6D">
      <w:pPr>
        <w:pStyle w:val="BodyTextIndent"/>
        <w:ind w:left="0" w:firstLine="0"/>
        <w:rPr>
          <w:rFonts w:ascii="Arial" w:hAnsi="Arial"/>
          <w:szCs w:val="24"/>
        </w:rPr>
      </w:pPr>
    </w:p>
    <w:p w14:paraId="5C2D51FC" w14:textId="77777777" w:rsidR="001D3C6D" w:rsidRPr="0099699C" w:rsidRDefault="001D3C6D" w:rsidP="001D3C6D">
      <w:pPr>
        <w:pStyle w:val="BodyTextIndent"/>
        <w:rPr>
          <w:rFonts w:ascii="Arial" w:hAnsi="Arial"/>
          <w:szCs w:val="24"/>
        </w:rPr>
      </w:pPr>
    </w:p>
    <w:p w14:paraId="51AF1F37" w14:textId="77777777" w:rsidR="001D3C6D" w:rsidRPr="0099699C" w:rsidRDefault="001D3C6D" w:rsidP="001D3C6D">
      <w:pPr>
        <w:pStyle w:val="BodyTextIndent"/>
        <w:rPr>
          <w:rFonts w:ascii="Arial" w:hAnsi="Arial"/>
          <w:b/>
          <w:szCs w:val="24"/>
        </w:rPr>
      </w:pPr>
      <w:r w:rsidRPr="0099699C">
        <w:rPr>
          <w:rFonts w:ascii="Arial" w:hAnsi="Arial"/>
          <w:b/>
          <w:szCs w:val="24"/>
        </w:rPr>
        <w:t>Key Targets – Royal Bank of Scotland</w:t>
      </w:r>
    </w:p>
    <w:p w14:paraId="464D65AF" w14:textId="77777777" w:rsidR="001D3C6D" w:rsidRPr="0099699C" w:rsidRDefault="001D3C6D" w:rsidP="001D3C6D">
      <w:pPr>
        <w:pStyle w:val="BodyTextIndent"/>
        <w:rPr>
          <w:rFonts w:ascii="Arial" w:hAnsi="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1559"/>
        <w:gridCol w:w="1418"/>
      </w:tblGrid>
      <w:tr w:rsidR="0099699C" w:rsidRPr="0099699C" w14:paraId="505606B9" w14:textId="77777777" w:rsidTr="009F6BC0">
        <w:tc>
          <w:tcPr>
            <w:tcW w:w="3402" w:type="dxa"/>
          </w:tcPr>
          <w:p w14:paraId="2242C936" w14:textId="77777777" w:rsidR="001D3C6D" w:rsidRPr="0099699C" w:rsidRDefault="001D3C6D" w:rsidP="009F6BC0">
            <w:pPr>
              <w:pStyle w:val="BodyTextIndent"/>
              <w:ind w:left="0" w:firstLine="0"/>
              <w:rPr>
                <w:rFonts w:ascii="Arial" w:hAnsi="Arial"/>
                <w:b/>
                <w:szCs w:val="24"/>
              </w:rPr>
            </w:pPr>
            <w:r w:rsidRPr="0099699C">
              <w:rPr>
                <w:rFonts w:ascii="Arial" w:hAnsi="Arial"/>
                <w:b/>
                <w:szCs w:val="24"/>
              </w:rPr>
              <w:t>Ratio</w:t>
            </w:r>
          </w:p>
        </w:tc>
        <w:tc>
          <w:tcPr>
            <w:tcW w:w="1276" w:type="dxa"/>
          </w:tcPr>
          <w:p w14:paraId="772DDFE6" w14:textId="77777777" w:rsidR="001D3C6D" w:rsidRPr="0099699C" w:rsidRDefault="001D3C6D" w:rsidP="009F6BC0">
            <w:pPr>
              <w:pStyle w:val="BodyTextIndent"/>
              <w:ind w:left="0" w:firstLine="0"/>
              <w:rPr>
                <w:rFonts w:ascii="Arial" w:hAnsi="Arial"/>
                <w:b/>
                <w:szCs w:val="24"/>
              </w:rPr>
            </w:pPr>
            <w:r w:rsidRPr="0099699C">
              <w:rPr>
                <w:rFonts w:ascii="Arial" w:hAnsi="Arial"/>
                <w:b/>
                <w:szCs w:val="24"/>
              </w:rPr>
              <w:t>Target</w:t>
            </w:r>
          </w:p>
        </w:tc>
        <w:tc>
          <w:tcPr>
            <w:tcW w:w="1559" w:type="dxa"/>
          </w:tcPr>
          <w:p w14:paraId="35F37F1B" w14:textId="77777777" w:rsidR="001D3C6D" w:rsidRPr="0099699C" w:rsidRDefault="001D3C6D" w:rsidP="009F6BC0">
            <w:pPr>
              <w:pStyle w:val="BodyTextIndent"/>
              <w:ind w:left="0" w:firstLine="0"/>
              <w:rPr>
                <w:rFonts w:ascii="Arial" w:hAnsi="Arial"/>
                <w:b/>
                <w:szCs w:val="24"/>
              </w:rPr>
            </w:pPr>
            <w:r w:rsidRPr="0099699C">
              <w:rPr>
                <w:rFonts w:ascii="Arial" w:hAnsi="Arial"/>
                <w:b/>
                <w:szCs w:val="24"/>
              </w:rPr>
              <w:t>Projected Out turn</w:t>
            </w:r>
          </w:p>
        </w:tc>
        <w:tc>
          <w:tcPr>
            <w:tcW w:w="1418" w:type="dxa"/>
          </w:tcPr>
          <w:p w14:paraId="595FEEB9" w14:textId="77777777" w:rsidR="001D3C6D" w:rsidRPr="0099699C" w:rsidRDefault="001D3C6D" w:rsidP="009F6BC0">
            <w:pPr>
              <w:pStyle w:val="BodyTextIndent"/>
              <w:ind w:left="0" w:firstLine="0"/>
              <w:rPr>
                <w:rFonts w:ascii="Arial" w:hAnsi="Arial"/>
                <w:b/>
                <w:szCs w:val="24"/>
              </w:rPr>
            </w:pPr>
            <w:r w:rsidRPr="0099699C">
              <w:rPr>
                <w:rFonts w:ascii="Arial" w:hAnsi="Arial"/>
                <w:b/>
                <w:szCs w:val="24"/>
              </w:rPr>
              <w:t>Pass/Fail</w:t>
            </w:r>
          </w:p>
        </w:tc>
      </w:tr>
      <w:tr w:rsidR="0099699C" w:rsidRPr="0099699C" w14:paraId="596D0B03" w14:textId="77777777" w:rsidTr="009F6BC0">
        <w:trPr>
          <w:trHeight w:val="381"/>
        </w:trPr>
        <w:tc>
          <w:tcPr>
            <w:tcW w:w="3402" w:type="dxa"/>
          </w:tcPr>
          <w:p w14:paraId="0F4CC70B" w14:textId="77777777" w:rsidR="001D3C6D" w:rsidRPr="0099699C" w:rsidRDefault="001D3C6D" w:rsidP="009F6BC0">
            <w:pPr>
              <w:pStyle w:val="BodyTextIndent"/>
              <w:ind w:left="0" w:firstLine="0"/>
              <w:rPr>
                <w:rFonts w:ascii="Arial" w:hAnsi="Arial"/>
                <w:szCs w:val="24"/>
              </w:rPr>
            </w:pPr>
            <w:r w:rsidRPr="0099699C">
              <w:rPr>
                <w:rFonts w:ascii="Arial" w:hAnsi="Arial"/>
                <w:szCs w:val="24"/>
              </w:rPr>
              <w:t>Loan Repayment Cover</w:t>
            </w:r>
          </w:p>
        </w:tc>
        <w:tc>
          <w:tcPr>
            <w:tcW w:w="1276" w:type="dxa"/>
          </w:tcPr>
          <w:p w14:paraId="0F7CB0B0" w14:textId="77777777" w:rsidR="001D3C6D" w:rsidRPr="0099699C" w:rsidRDefault="001D3C6D" w:rsidP="009F6BC0">
            <w:pPr>
              <w:pStyle w:val="BodyTextIndent"/>
              <w:ind w:left="0" w:firstLine="0"/>
              <w:rPr>
                <w:rFonts w:ascii="Arial" w:hAnsi="Arial"/>
                <w:szCs w:val="24"/>
              </w:rPr>
            </w:pPr>
            <w:r w:rsidRPr="0099699C">
              <w:rPr>
                <w:rFonts w:ascii="Arial" w:hAnsi="Arial"/>
                <w:szCs w:val="24"/>
              </w:rPr>
              <w:t>&gt;100%</w:t>
            </w:r>
          </w:p>
        </w:tc>
        <w:tc>
          <w:tcPr>
            <w:tcW w:w="1559" w:type="dxa"/>
          </w:tcPr>
          <w:p w14:paraId="3D93128D" w14:textId="5890FB3F" w:rsidR="001D3C6D" w:rsidRPr="0099699C" w:rsidRDefault="0099699C" w:rsidP="00283EB2">
            <w:pPr>
              <w:pStyle w:val="BodyTextIndent"/>
              <w:ind w:left="0" w:firstLine="0"/>
              <w:rPr>
                <w:rFonts w:ascii="Arial" w:hAnsi="Arial"/>
                <w:szCs w:val="24"/>
              </w:rPr>
            </w:pPr>
            <w:r w:rsidRPr="0099699C">
              <w:rPr>
                <w:rFonts w:ascii="Arial" w:hAnsi="Arial"/>
                <w:szCs w:val="24"/>
              </w:rPr>
              <w:t>246</w:t>
            </w:r>
            <w:r w:rsidR="001D3C6D" w:rsidRPr="0099699C">
              <w:rPr>
                <w:rFonts w:ascii="Arial" w:hAnsi="Arial"/>
                <w:szCs w:val="24"/>
              </w:rPr>
              <w:t>%</w:t>
            </w:r>
          </w:p>
        </w:tc>
        <w:tc>
          <w:tcPr>
            <w:tcW w:w="1418" w:type="dxa"/>
          </w:tcPr>
          <w:p w14:paraId="4E3B710E" w14:textId="77777777" w:rsidR="001D3C6D" w:rsidRPr="0099699C" w:rsidRDefault="001D3C6D" w:rsidP="009F6BC0">
            <w:pPr>
              <w:pStyle w:val="BodyTextIndent"/>
              <w:ind w:left="0" w:firstLine="0"/>
              <w:rPr>
                <w:rFonts w:ascii="Arial" w:hAnsi="Arial"/>
                <w:szCs w:val="24"/>
              </w:rPr>
            </w:pPr>
            <w:r w:rsidRPr="0099699C">
              <w:rPr>
                <w:rFonts w:ascii="Arial" w:hAnsi="Arial"/>
                <w:szCs w:val="24"/>
              </w:rPr>
              <w:t>Pass</w:t>
            </w:r>
          </w:p>
        </w:tc>
      </w:tr>
      <w:tr w:rsidR="001D3C6D" w:rsidRPr="0099699C" w14:paraId="2E6B9D92" w14:textId="77777777" w:rsidTr="009F6BC0">
        <w:trPr>
          <w:trHeight w:val="280"/>
        </w:trPr>
        <w:tc>
          <w:tcPr>
            <w:tcW w:w="3402" w:type="dxa"/>
          </w:tcPr>
          <w:p w14:paraId="474C65A1" w14:textId="77777777" w:rsidR="001D3C6D" w:rsidRPr="0099699C" w:rsidRDefault="001D3C6D" w:rsidP="009F6BC0">
            <w:pPr>
              <w:pStyle w:val="BodyTextIndent"/>
              <w:ind w:left="0" w:firstLine="0"/>
              <w:rPr>
                <w:rFonts w:ascii="Arial" w:hAnsi="Arial"/>
                <w:szCs w:val="24"/>
              </w:rPr>
            </w:pPr>
            <w:r w:rsidRPr="0099699C">
              <w:rPr>
                <w:rFonts w:ascii="Arial" w:hAnsi="Arial"/>
                <w:szCs w:val="24"/>
              </w:rPr>
              <w:t>Debt Cover</w:t>
            </w:r>
          </w:p>
        </w:tc>
        <w:tc>
          <w:tcPr>
            <w:tcW w:w="1276" w:type="dxa"/>
          </w:tcPr>
          <w:p w14:paraId="58E3AEC6" w14:textId="77777777" w:rsidR="001D3C6D" w:rsidRPr="0099699C" w:rsidRDefault="001D3C6D" w:rsidP="009F6BC0">
            <w:pPr>
              <w:pStyle w:val="BodyTextIndent"/>
              <w:ind w:left="0" w:firstLine="0"/>
              <w:rPr>
                <w:rFonts w:ascii="Arial" w:hAnsi="Arial"/>
                <w:szCs w:val="24"/>
              </w:rPr>
            </w:pPr>
            <w:r w:rsidRPr="0099699C">
              <w:rPr>
                <w:rFonts w:ascii="Arial" w:hAnsi="Arial"/>
                <w:szCs w:val="24"/>
              </w:rPr>
              <w:t>&lt;35%</w:t>
            </w:r>
          </w:p>
        </w:tc>
        <w:tc>
          <w:tcPr>
            <w:tcW w:w="1559" w:type="dxa"/>
          </w:tcPr>
          <w:p w14:paraId="31B4C13D" w14:textId="0B4D197B" w:rsidR="001D3C6D" w:rsidRPr="0099699C" w:rsidRDefault="009547FD" w:rsidP="0099699C">
            <w:pPr>
              <w:pStyle w:val="BodyTextIndent"/>
              <w:ind w:left="0" w:firstLine="0"/>
              <w:rPr>
                <w:rFonts w:ascii="Arial" w:hAnsi="Arial"/>
                <w:szCs w:val="24"/>
              </w:rPr>
            </w:pPr>
            <w:r w:rsidRPr="0099699C">
              <w:rPr>
                <w:rFonts w:ascii="Arial" w:hAnsi="Arial"/>
                <w:szCs w:val="24"/>
              </w:rPr>
              <w:t>1</w:t>
            </w:r>
            <w:r w:rsidR="0099699C" w:rsidRPr="0099699C">
              <w:rPr>
                <w:rFonts w:ascii="Arial" w:hAnsi="Arial"/>
                <w:szCs w:val="24"/>
              </w:rPr>
              <w:t>3.8</w:t>
            </w:r>
            <w:r w:rsidR="001D3C6D" w:rsidRPr="0099699C">
              <w:rPr>
                <w:rFonts w:ascii="Arial" w:hAnsi="Arial"/>
                <w:szCs w:val="24"/>
              </w:rPr>
              <w:t>%</w:t>
            </w:r>
          </w:p>
        </w:tc>
        <w:tc>
          <w:tcPr>
            <w:tcW w:w="1418" w:type="dxa"/>
          </w:tcPr>
          <w:p w14:paraId="7E661CCB" w14:textId="77777777" w:rsidR="001D3C6D" w:rsidRPr="0099699C" w:rsidRDefault="001D3C6D" w:rsidP="009F6BC0">
            <w:pPr>
              <w:pStyle w:val="BodyTextIndent"/>
              <w:ind w:left="0" w:firstLine="0"/>
              <w:rPr>
                <w:rFonts w:ascii="Arial" w:hAnsi="Arial"/>
                <w:szCs w:val="24"/>
              </w:rPr>
            </w:pPr>
            <w:r w:rsidRPr="0099699C">
              <w:rPr>
                <w:rFonts w:ascii="Arial" w:hAnsi="Arial"/>
                <w:szCs w:val="24"/>
              </w:rPr>
              <w:t>Pass</w:t>
            </w:r>
          </w:p>
        </w:tc>
      </w:tr>
    </w:tbl>
    <w:p w14:paraId="7188AD66" w14:textId="77777777" w:rsidR="001D3C6D" w:rsidRPr="0099699C" w:rsidRDefault="001D3C6D" w:rsidP="001D3C6D">
      <w:pPr>
        <w:pStyle w:val="BodyTextIndent"/>
        <w:rPr>
          <w:szCs w:val="24"/>
        </w:rPr>
      </w:pPr>
    </w:p>
    <w:p w14:paraId="23710736" w14:textId="77777777" w:rsidR="001D3C6D" w:rsidRPr="0099699C" w:rsidRDefault="001D3C6D" w:rsidP="001D3C6D">
      <w:pPr>
        <w:pStyle w:val="BodyTextIndent"/>
        <w:rPr>
          <w:szCs w:val="24"/>
        </w:rPr>
      </w:pPr>
    </w:p>
    <w:p w14:paraId="422E5E7C" w14:textId="77777777" w:rsidR="001D3C6D" w:rsidRPr="0099699C" w:rsidRDefault="001D3C6D" w:rsidP="001D3C6D">
      <w:pPr>
        <w:pStyle w:val="BodyTextIndent"/>
        <w:rPr>
          <w:rFonts w:ascii="Arial" w:hAnsi="Arial"/>
          <w:b/>
          <w:szCs w:val="24"/>
        </w:rPr>
      </w:pPr>
      <w:r w:rsidRPr="0099699C">
        <w:rPr>
          <w:rFonts w:ascii="Arial" w:hAnsi="Arial"/>
          <w:b/>
          <w:szCs w:val="24"/>
        </w:rPr>
        <w:t xml:space="preserve">Key Targets – Bank of Scotland </w:t>
      </w:r>
    </w:p>
    <w:p w14:paraId="07EB99E9" w14:textId="77777777" w:rsidR="001D3C6D" w:rsidRPr="0099699C" w:rsidRDefault="001D3C6D" w:rsidP="001D3C6D">
      <w:pPr>
        <w:pStyle w:val="BodyTextIndent"/>
        <w:rPr>
          <w:rFonts w:ascii="Arial" w:hAnsi="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1559"/>
        <w:gridCol w:w="1418"/>
      </w:tblGrid>
      <w:tr w:rsidR="0099699C" w:rsidRPr="0099699C" w14:paraId="7BD901E3" w14:textId="77777777" w:rsidTr="009F6BC0">
        <w:tc>
          <w:tcPr>
            <w:tcW w:w="3402" w:type="dxa"/>
          </w:tcPr>
          <w:p w14:paraId="747C3178" w14:textId="77777777" w:rsidR="001D3C6D" w:rsidRPr="0099699C" w:rsidRDefault="001D3C6D" w:rsidP="009F6BC0">
            <w:pPr>
              <w:pStyle w:val="BodyTextIndent"/>
              <w:ind w:left="0" w:firstLine="0"/>
              <w:rPr>
                <w:rFonts w:ascii="Arial" w:hAnsi="Arial"/>
                <w:b/>
                <w:szCs w:val="24"/>
              </w:rPr>
            </w:pPr>
            <w:r w:rsidRPr="0099699C">
              <w:rPr>
                <w:rFonts w:ascii="Arial" w:hAnsi="Arial"/>
                <w:b/>
                <w:szCs w:val="24"/>
              </w:rPr>
              <w:t>Ratio</w:t>
            </w:r>
          </w:p>
        </w:tc>
        <w:tc>
          <w:tcPr>
            <w:tcW w:w="1276" w:type="dxa"/>
          </w:tcPr>
          <w:p w14:paraId="5B82C0C7" w14:textId="77777777" w:rsidR="001D3C6D" w:rsidRPr="0099699C" w:rsidRDefault="001D3C6D" w:rsidP="009F6BC0">
            <w:pPr>
              <w:pStyle w:val="BodyTextIndent"/>
              <w:ind w:left="0" w:firstLine="0"/>
              <w:rPr>
                <w:rFonts w:ascii="Arial" w:hAnsi="Arial"/>
                <w:b/>
                <w:szCs w:val="24"/>
              </w:rPr>
            </w:pPr>
            <w:r w:rsidRPr="0099699C">
              <w:rPr>
                <w:rFonts w:ascii="Arial" w:hAnsi="Arial"/>
                <w:b/>
                <w:szCs w:val="24"/>
              </w:rPr>
              <w:t>Target</w:t>
            </w:r>
          </w:p>
        </w:tc>
        <w:tc>
          <w:tcPr>
            <w:tcW w:w="1559" w:type="dxa"/>
          </w:tcPr>
          <w:p w14:paraId="422A799F" w14:textId="77777777" w:rsidR="001D3C6D" w:rsidRPr="0099699C" w:rsidRDefault="001D3C6D" w:rsidP="009F6BC0">
            <w:pPr>
              <w:pStyle w:val="BodyTextIndent"/>
              <w:ind w:left="0" w:firstLine="0"/>
              <w:rPr>
                <w:rFonts w:ascii="Arial" w:hAnsi="Arial"/>
                <w:b/>
                <w:szCs w:val="24"/>
              </w:rPr>
            </w:pPr>
            <w:r w:rsidRPr="0099699C">
              <w:rPr>
                <w:rFonts w:ascii="Arial" w:hAnsi="Arial"/>
                <w:b/>
                <w:szCs w:val="24"/>
              </w:rPr>
              <w:t>Projected Out turn</w:t>
            </w:r>
          </w:p>
        </w:tc>
        <w:tc>
          <w:tcPr>
            <w:tcW w:w="1418" w:type="dxa"/>
          </w:tcPr>
          <w:p w14:paraId="72888EBE" w14:textId="77777777" w:rsidR="001D3C6D" w:rsidRPr="0099699C" w:rsidRDefault="001D3C6D" w:rsidP="009F6BC0">
            <w:pPr>
              <w:pStyle w:val="BodyTextIndent"/>
              <w:ind w:left="0" w:firstLine="0"/>
              <w:rPr>
                <w:rFonts w:ascii="Arial" w:hAnsi="Arial"/>
                <w:b/>
                <w:szCs w:val="24"/>
              </w:rPr>
            </w:pPr>
            <w:r w:rsidRPr="0099699C">
              <w:rPr>
                <w:rFonts w:ascii="Arial" w:hAnsi="Arial"/>
                <w:b/>
                <w:szCs w:val="24"/>
              </w:rPr>
              <w:t>Pass/Fail</w:t>
            </w:r>
          </w:p>
        </w:tc>
      </w:tr>
      <w:tr w:rsidR="0099699C" w:rsidRPr="0099699C" w14:paraId="32BC47ED" w14:textId="77777777" w:rsidTr="009F6BC0">
        <w:trPr>
          <w:trHeight w:val="280"/>
        </w:trPr>
        <w:tc>
          <w:tcPr>
            <w:tcW w:w="3402" w:type="dxa"/>
          </w:tcPr>
          <w:p w14:paraId="4F2A4CD6" w14:textId="77777777" w:rsidR="001D3C6D" w:rsidRPr="0099699C" w:rsidRDefault="001D3C6D" w:rsidP="009F6BC0">
            <w:pPr>
              <w:pStyle w:val="BodyTextIndent"/>
              <w:ind w:left="0" w:firstLine="0"/>
              <w:rPr>
                <w:rFonts w:ascii="Arial" w:hAnsi="Arial"/>
                <w:szCs w:val="24"/>
              </w:rPr>
            </w:pPr>
            <w:r w:rsidRPr="0099699C">
              <w:rPr>
                <w:rFonts w:ascii="Arial" w:hAnsi="Arial"/>
                <w:szCs w:val="24"/>
              </w:rPr>
              <w:t xml:space="preserve">Interest Cover </w:t>
            </w:r>
          </w:p>
        </w:tc>
        <w:tc>
          <w:tcPr>
            <w:tcW w:w="1276" w:type="dxa"/>
          </w:tcPr>
          <w:p w14:paraId="24D292D3" w14:textId="77777777" w:rsidR="001D3C6D" w:rsidRPr="0099699C" w:rsidRDefault="001D3C6D" w:rsidP="009F6BC0">
            <w:pPr>
              <w:pStyle w:val="BodyTextIndent"/>
              <w:ind w:left="0" w:firstLine="0"/>
              <w:rPr>
                <w:rFonts w:ascii="Arial" w:hAnsi="Arial"/>
                <w:szCs w:val="24"/>
              </w:rPr>
            </w:pPr>
            <w:r w:rsidRPr="0099699C">
              <w:rPr>
                <w:rFonts w:ascii="Arial" w:hAnsi="Arial"/>
                <w:szCs w:val="24"/>
              </w:rPr>
              <w:t>&gt;125%</w:t>
            </w:r>
          </w:p>
        </w:tc>
        <w:tc>
          <w:tcPr>
            <w:tcW w:w="1559" w:type="dxa"/>
          </w:tcPr>
          <w:p w14:paraId="3D575D67" w14:textId="4EFD49D3" w:rsidR="001D3C6D" w:rsidRPr="0099699C" w:rsidRDefault="0099699C" w:rsidP="00B71415">
            <w:pPr>
              <w:pStyle w:val="BodyTextIndent"/>
              <w:ind w:left="0" w:firstLine="0"/>
              <w:rPr>
                <w:rFonts w:ascii="Arial" w:hAnsi="Arial"/>
                <w:szCs w:val="24"/>
              </w:rPr>
            </w:pPr>
            <w:r w:rsidRPr="0099699C">
              <w:rPr>
                <w:rFonts w:ascii="Arial" w:hAnsi="Arial"/>
                <w:szCs w:val="24"/>
              </w:rPr>
              <w:t>1726.77</w:t>
            </w:r>
            <w:r w:rsidR="001D3C6D" w:rsidRPr="0099699C">
              <w:rPr>
                <w:rFonts w:ascii="Arial" w:hAnsi="Arial"/>
                <w:szCs w:val="24"/>
              </w:rPr>
              <w:t>%</w:t>
            </w:r>
          </w:p>
        </w:tc>
        <w:tc>
          <w:tcPr>
            <w:tcW w:w="1418" w:type="dxa"/>
          </w:tcPr>
          <w:p w14:paraId="5BA70D76" w14:textId="77777777" w:rsidR="001D3C6D" w:rsidRPr="0099699C" w:rsidRDefault="001D3C6D" w:rsidP="009F6BC0">
            <w:pPr>
              <w:pStyle w:val="BodyTextIndent"/>
              <w:ind w:left="0" w:firstLine="0"/>
              <w:rPr>
                <w:rFonts w:ascii="Arial" w:hAnsi="Arial"/>
                <w:szCs w:val="24"/>
              </w:rPr>
            </w:pPr>
            <w:r w:rsidRPr="0099699C">
              <w:rPr>
                <w:rFonts w:ascii="Arial" w:hAnsi="Arial"/>
                <w:szCs w:val="24"/>
              </w:rPr>
              <w:t>Pass</w:t>
            </w:r>
          </w:p>
        </w:tc>
      </w:tr>
    </w:tbl>
    <w:p w14:paraId="7C2023B0" w14:textId="77777777" w:rsidR="001D3C6D" w:rsidRPr="0099699C" w:rsidRDefault="001D3C6D" w:rsidP="001D3C6D">
      <w:pPr>
        <w:pStyle w:val="BodyTextIndent"/>
        <w:ind w:left="0" w:firstLine="0"/>
        <w:rPr>
          <w:rFonts w:ascii="Arial" w:hAnsi="Arial" w:cs="Arial"/>
          <w:szCs w:val="24"/>
        </w:rPr>
      </w:pPr>
      <w:r w:rsidRPr="0099699C">
        <w:rPr>
          <w:rFonts w:ascii="Arial" w:hAnsi="Arial" w:cs="Arial"/>
          <w:szCs w:val="24"/>
        </w:rPr>
        <w:tab/>
      </w:r>
      <w:r w:rsidRPr="0099699C">
        <w:rPr>
          <w:rFonts w:ascii="Arial" w:hAnsi="Arial" w:cs="Arial"/>
          <w:szCs w:val="24"/>
        </w:rPr>
        <w:tab/>
      </w:r>
      <w:r w:rsidRPr="0099699C">
        <w:rPr>
          <w:rFonts w:ascii="Arial" w:hAnsi="Arial" w:cs="Arial"/>
          <w:szCs w:val="24"/>
        </w:rPr>
        <w:tab/>
      </w:r>
    </w:p>
    <w:p w14:paraId="780619E9" w14:textId="77777777" w:rsidR="001D3C6D" w:rsidRPr="0099699C" w:rsidRDefault="001D3C6D" w:rsidP="001D3C6D">
      <w:pPr>
        <w:pStyle w:val="BodyTextIndent"/>
        <w:ind w:left="0" w:firstLine="0"/>
      </w:pPr>
    </w:p>
    <w:p w14:paraId="1D1CECF8" w14:textId="77777777" w:rsidR="001D3C6D" w:rsidRPr="0099699C" w:rsidRDefault="001D3C6D" w:rsidP="001D3C6D">
      <w:pPr>
        <w:pStyle w:val="BodyTextIndent"/>
        <w:rPr>
          <w:rFonts w:ascii="Arial" w:hAnsi="Arial"/>
          <w:b/>
          <w:szCs w:val="24"/>
        </w:rPr>
      </w:pPr>
      <w:r w:rsidRPr="0099699C">
        <w:rPr>
          <w:rFonts w:ascii="Arial" w:hAnsi="Arial"/>
          <w:b/>
          <w:szCs w:val="24"/>
        </w:rPr>
        <w:t>Key Targets –  Clydesdale Bank</w:t>
      </w:r>
    </w:p>
    <w:p w14:paraId="79BB9A2A" w14:textId="77777777" w:rsidR="001D3C6D" w:rsidRPr="0099699C" w:rsidRDefault="001D3C6D" w:rsidP="001D3C6D">
      <w:pPr>
        <w:pStyle w:val="BodyTextIndent"/>
        <w:rPr>
          <w:rFonts w:ascii="Arial" w:hAnsi="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9"/>
        <w:gridCol w:w="1286"/>
        <w:gridCol w:w="1572"/>
        <w:gridCol w:w="1430"/>
      </w:tblGrid>
      <w:tr w:rsidR="0099699C" w:rsidRPr="0099699C" w14:paraId="11D710D4" w14:textId="77777777" w:rsidTr="009F6BC0">
        <w:trPr>
          <w:trHeight w:val="554"/>
        </w:trPr>
        <w:tc>
          <w:tcPr>
            <w:tcW w:w="3429" w:type="dxa"/>
          </w:tcPr>
          <w:p w14:paraId="2D1646AE" w14:textId="77777777" w:rsidR="001D3C6D" w:rsidRPr="0099699C" w:rsidRDefault="001D3C6D" w:rsidP="009F6BC0">
            <w:pPr>
              <w:pStyle w:val="BodyTextIndent"/>
              <w:ind w:left="0" w:firstLine="0"/>
              <w:rPr>
                <w:rFonts w:ascii="Arial" w:hAnsi="Arial"/>
                <w:b/>
                <w:szCs w:val="24"/>
              </w:rPr>
            </w:pPr>
            <w:r w:rsidRPr="0099699C">
              <w:rPr>
                <w:rFonts w:ascii="Arial" w:hAnsi="Arial"/>
                <w:b/>
                <w:szCs w:val="24"/>
              </w:rPr>
              <w:t>Ratio</w:t>
            </w:r>
          </w:p>
        </w:tc>
        <w:tc>
          <w:tcPr>
            <w:tcW w:w="1286" w:type="dxa"/>
          </w:tcPr>
          <w:p w14:paraId="4AA239C8" w14:textId="77777777" w:rsidR="001D3C6D" w:rsidRPr="0099699C" w:rsidRDefault="001D3C6D" w:rsidP="009F6BC0">
            <w:pPr>
              <w:pStyle w:val="BodyTextIndent"/>
              <w:ind w:left="0" w:firstLine="0"/>
              <w:rPr>
                <w:rFonts w:ascii="Arial" w:hAnsi="Arial"/>
                <w:b/>
                <w:szCs w:val="24"/>
              </w:rPr>
            </w:pPr>
            <w:r w:rsidRPr="0099699C">
              <w:rPr>
                <w:rFonts w:ascii="Arial" w:hAnsi="Arial"/>
                <w:b/>
                <w:szCs w:val="24"/>
              </w:rPr>
              <w:t>Target</w:t>
            </w:r>
          </w:p>
        </w:tc>
        <w:tc>
          <w:tcPr>
            <w:tcW w:w="1572" w:type="dxa"/>
          </w:tcPr>
          <w:p w14:paraId="4C8F8CD1" w14:textId="77777777" w:rsidR="001D3C6D" w:rsidRPr="0099699C" w:rsidRDefault="001D3C6D" w:rsidP="009F6BC0">
            <w:pPr>
              <w:pStyle w:val="BodyTextIndent"/>
              <w:ind w:left="0" w:firstLine="0"/>
              <w:rPr>
                <w:rFonts w:ascii="Arial" w:hAnsi="Arial"/>
                <w:b/>
                <w:szCs w:val="24"/>
              </w:rPr>
            </w:pPr>
            <w:r w:rsidRPr="0099699C">
              <w:rPr>
                <w:rFonts w:ascii="Arial" w:hAnsi="Arial"/>
                <w:b/>
                <w:szCs w:val="24"/>
              </w:rPr>
              <w:t>Projected Out turn</w:t>
            </w:r>
          </w:p>
        </w:tc>
        <w:tc>
          <w:tcPr>
            <w:tcW w:w="1430" w:type="dxa"/>
          </w:tcPr>
          <w:p w14:paraId="3A19FBA1" w14:textId="77777777" w:rsidR="001D3C6D" w:rsidRPr="0099699C" w:rsidRDefault="001D3C6D" w:rsidP="009F6BC0">
            <w:pPr>
              <w:pStyle w:val="BodyTextIndent"/>
              <w:ind w:left="0" w:firstLine="0"/>
              <w:rPr>
                <w:rFonts w:ascii="Arial" w:hAnsi="Arial"/>
                <w:b/>
                <w:szCs w:val="24"/>
              </w:rPr>
            </w:pPr>
            <w:r w:rsidRPr="0099699C">
              <w:rPr>
                <w:rFonts w:ascii="Arial" w:hAnsi="Arial"/>
                <w:b/>
                <w:szCs w:val="24"/>
              </w:rPr>
              <w:t>Pass/Fail</w:t>
            </w:r>
          </w:p>
        </w:tc>
      </w:tr>
      <w:tr w:rsidR="00683E1B" w:rsidRPr="0099699C" w14:paraId="57D1E9A9" w14:textId="77777777" w:rsidTr="009F6BC0">
        <w:trPr>
          <w:trHeight w:val="288"/>
        </w:trPr>
        <w:tc>
          <w:tcPr>
            <w:tcW w:w="3429" w:type="dxa"/>
          </w:tcPr>
          <w:p w14:paraId="02AD577B" w14:textId="77777777" w:rsidR="001D3C6D" w:rsidRPr="0099699C" w:rsidRDefault="001D3C6D" w:rsidP="009F6BC0">
            <w:pPr>
              <w:pStyle w:val="BodyTextIndent"/>
              <w:ind w:left="0" w:firstLine="0"/>
              <w:rPr>
                <w:rFonts w:ascii="Arial" w:hAnsi="Arial"/>
                <w:szCs w:val="24"/>
              </w:rPr>
            </w:pPr>
            <w:r w:rsidRPr="0099699C">
              <w:rPr>
                <w:rFonts w:ascii="Arial" w:hAnsi="Arial"/>
                <w:szCs w:val="24"/>
              </w:rPr>
              <w:t>Debt Cover</w:t>
            </w:r>
          </w:p>
        </w:tc>
        <w:tc>
          <w:tcPr>
            <w:tcW w:w="1286" w:type="dxa"/>
          </w:tcPr>
          <w:p w14:paraId="4F01C194" w14:textId="77777777" w:rsidR="001D3C6D" w:rsidRPr="0099699C" w:rsidRDefault="001D3C6D" w:rsidP="009F6BC0">
            <w:pPr>
              <w:pStyle w:val="BodyTextIndent"/>
              <w:ind w:left="0" w:firstLine="0"/>
              <w:rPr>
                <w:rFonts w:ascii="Arial" w:hAnsi="Arial"/>
                <w:szCs w:val="24"/>
              </w:rPr>
            </w:pPr>
            <w:r w:rsidRPr="0099699C">
              <w:rPr>
                <w:rFonts w:ascii="Arial" w:hAnsi="Arial"/>
                <w:szCs w:val="24"/>
              </w:rPr>
              <w:t>&lt;30%</w:t>
            </w:r>
          </w:p>
        </w:tc>
        <w:tc>
          <w:tcPr>
            <w:tcW w:w="1572" w:type="dxa"/>
          </w:tcPr>
          <w:p w14:paraId="116C37F1" w14:textId="59046666" w:rsidR="001D3C6D" w:rsidRPr="0099699C" w:rsidRDefault="00A517B9" w:rsidP="009547FD">
            <w:pPr>
              <w:pStyle w:val="BodyTextIndent"/>
              <w:ind w:left="0" w:firstLine="0"/>
              <w:rPr>
                <w:rFonts w:ascii="Arial" w:hAnsi="Arial"/>
                <w:szCs w:val="24"/>
              </w:rPr>
            </w:pPr>
            <w:r w:rsidRPr="0099699C">
              <w:rPr>
                <w:rFonts w:ascii="Arial" w:hAnsi="Arial"/>
                <w:szCs w:val="24"/>
              </w:rPr>
              <w:t>8.</w:t>
            </w:r>
            <w:r w:rsidR="0099699C" w:rsidRPr="0099699C">
              <w:rPr>
                <w:rFonts w:ascii="Arial" w:hAnsi="Arial"/>
                <w:szCs w:val="24"/>
              </w:rPr>
              <w:t>5</w:t>
            </w:r>
            <w:r w:rsidR="00061641" w:rsidRPr="0099699C">
              <w:rPr>
                <w:rFonts w:ascii="Arial" w:hAnsi="Arial"/>
                <w:szCs w:val="24"/>
              </w:rPr>
              <w:t>%</w:t>
            </w:r>
          </w:p>
        </w:tc>
        <w:tc>
          <w:tcPr>
            <w:tcW w:w="1430" w:type="dxa"/>
          </w:tcPr>
          <w:p w14:paraId="7FAAD59D" w14:textId="77777777" w:rsidR="001D3C6D" w:rsidRPr="0099699C" w:rsidRDefault="001D3C6D" w:rsidP="009F6BC0">
            <w:pPr>
              <w:pStyle w:val="BodyTextIndent"/>
              <w:ind w:left="0" w:firstLine="0"/>
              <w:rPr>
                <w:rFonts w:ascii="Arial" w:hAnsi="Arial"/>
                <w:szCs w:val="24"/>
              </w:rPr>
            </w:pPr>
            <w:r w:rsidRPr="0099699C">
              <w:rPr>
                <w:rFonts w:ascii="Arial" w:hAnsi="Arial"/>
                <w:szCs w:val="24"/>
              </w:rPr>
              <w:t>Pass</w:t>
            </w:r>
          </w:p>
        </w:tc>
      </w:tr>
    </w:tbl>
    <w:p w14:paraId="2AFDDB87" w14:textId="77777777" w:rsidR="001D3C6D" w:rsidRPr="0099699C" w:rsidRDefault="001D3C6D" w:rsidP="001D3C6D">
      <w:pPr>
        <w:pStyle w:val="BodyTextIndent"/>
        <w:ind w:left="0" w:firstLine="0"/>
      </w:pPr>
    </w:p>
    <w:p w14:paraId="67DB896E" w14:textId="77777777" w:rsidR="00A0568D" w:rsidRPr="0099699C" w:rsidRDefault="00A0568D" w:rsidP="001D3C6D">
      <w:pPr>
        <w:pStyle w:val="BodyTextIndent"/>
        <w:ind w:left="0" w:firstLine="0"/>
      </w:pPr>
    </w:p>
    <w:p w14:paraId="6C34346C" w14:textId="77777777" w:rsidR="00A0568D" w:rsidRPr="0099699C" w:rsidRDefault="00A0568D" w:rsidP="00A0568D">
      <w:pPr>
        <w:pStyle w:val="BodyTextIndent"/>
        <w:rPr>
          <w:rFonts w:ascii="Arial" w:hAnsi="Arial"/>
          <w:b/>
          <w:szCs w:val="24"/>
        </w:rPr>
      </w:pPr>
      <w:r w:rsidRPr="0099699C">
        <w:rPr>
          <w:rFonts w:ascii="Arial" w:hAnsi="Arial"/>
          <w:b/>
          <w:szCs w:val="24"/>
        </w:rPr>
        <w:t>Key Targets – CAF</w:t>
      </w:r>
    </w:p>
    <w:p w14:paraId="29CC0FEB" w14:textId="77777777" w:rsidR="008D696B" w:rsidRPr="0099699C" w:rsidRDefault="008D696B" w:rsidP="00A05C16">
      <w:pPr>
        <w:pStyle w:val="BodyTextInden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1559"/>
        <w:gridCol w:w="1418"/>
      </w:tblGrid>
      <w:tr w:rsidR="0099699C" w:rsidRPr="0099699C" w14:paraId="48E9EB17" w14:textId="77777777" w:rsidTr="003F2857">
        <w:tc>
          <w:tcPr>
            <w:tcW w:w="3402" w:type="dxa"/>
          </w:tcPr>
          <w:p w14:paraId="148B6771" w14:textId="77777777" w:rsidR="00A0568D" w:rsidRPr="0099699C" w:rsidRDefault="00A0568D" w:rsidP="003F2857">
            <w:pPr>
              <w:pStyle w:val="BodyTextIndent"/>
              <w:ind w:left="0" w:firstLine="0"/>
              <w:rPr>
                <w:rFonts w:ascii="Arial" w:hAnsi="Arial"/>
                <w:b/>
                <w:szCs w:val="24"/>
              </w:rPr>
            </w:pPr>
            <w:r w:rsidRPr="0099699C">
              <w:rPr>
                <w:rFonts w:ascii="Arial" w:hAnsi="Arial"/>
                <w:b/>
                <w:szCs w:val="24"/>
              </w:rPr>
              <w:t>Ratio</w:t>
            </w:r>
          </w:p>
        </w:tc>
        <w:tc>
          <w:tcPr>
            <w:tcW w:w="1276" w:type="dxa"/>
          </w:tcPr>
          <w:p w14:paraId="430C0EF3" w14:textId="77777777" w:rsidR="00A0568D" w:rsidRPr="0099699C" w:rsidRDefault="00A0568D" w:rsidP="003F2857">
            <w:pPr>
              <w:pStyle w:val="BodyTextIndent"/>
              <w:ind w:left="0" w:firstLine="0"/>
              <w:rPr>
                <w:rFonts w:ascii="Arial" w:hAnsi="Arial"/>
                <w:b/>
                <w:szCs w:val="24"/>
              </w:rPr>
            </w:pPr>
            <w:r w:rsidRPr="0099699C">
              <w:rPr>
                <w:rFonts w:ascii="Arial" w:hAnsi="Arial"/>
                <w:b/>
                <w:szCs w:val="24"/>
              </w:rPr>
              <w:t>Target</w:t>
            </w:r>
          </w:p>
        </w:tc>
        <w:tc>
          <w:tcPr>
            <w:tcW w:w="1559" w:type="dxa"/>
          </w:tcPr>
          <w:p w14:paraId="40A66342" w14:textId="77777777" w:rsidR="00A0568D" w:rsidRPr="0099699C" w:rsidRDefault="00A0568D" w:rsidP="003F2857">
            <w:pPr>
              <w:pStyle w:val="BodyTextIndent"/>
              <w:ind w:left="0" w:firstLine="0"/>
              <w:rPr>
                <w:rFonts w:ascii="Arial" w:hAnsi="Arial"/>
                <w:b/>
                <w:szCs w:val="24"/>
              </w:rPr>
            </w:pPr>
            <w:r w:rsidRPr="0099699C">
              <w:rPr>
                <w:rFonts w:ascii="Arial" w:hAnsi="Arial"/>
                <w:b/>
                <w:szCs w:val="24"/>
              </w:rPr>
              <w:t>Projected Out turn</w:t>
            </w:r>
          </w:p>
        </w:tc>
        <w:tc>
          <w:tcPr>
            <w:tcW w:w="1418" w:type="dxa"/>
          </w:tcPr>
          <w:p w14:paraId="4A3AB2CB" w14:textId="77777777" w:rsidR="00A0568D" w:rsidRPr="0099699C" w:rsidRDefault="00A0568D" w:rsidP="003F2857">
            <w:pPr>
              <w:pStyle w:val="BodyTextIndent"/>
              <w:ind w:left="0" w:firstLine="0"/>
              <w:rPr>
                <w:rFonts w:ascii="Arial" w:hAnsi="Arial"/>
                <w:b/>
                <w:szCs w:val="24"/>
              </w:rPr>
            </w:pPr>
            <w:r w:rsidRPr="0099699C">
              <w:rPr>
                <w:rFonts w:ascii="Arial" w:hAnsi="Arial"/>
                <w:b/>
                <w:szCs w:val="24"/>
              </w:rPr>
              <w:t>Pass/Fail</w:t>
            </w:r>
          </w:p>
        </w:tc>
      </w:tr>
      <w:tr w:rsidR="0099699C" w:rsidRPr="0099699C" w14:paraId="1FDD3C7D" w14:textId="77777777" w:rsidTr="003F2857">
        <w:trPr>
          <w:trHeight w:val="381"/>
        </w:trPr>
        <w:tc>
          <w:tcPr>
            <w:tcW w:w="3402" w:type="dxa"/>
          </w:tcPr>
          <w:p w14:paraId="50ECA6EC" w14:textId="77777777" w:rsidR="00A0568D" w:rsidRPr="0099699C" w:rsidRDefault="00A0568D" w:rsidP="003F2857">
            <w:pPr>
              <w:pStyle w:val="BodyTextIndent"/>
              <w:ind w:left="0" w:firstLine="0"/>
              <w:rPr>
                <w:rFonts w:ascii="Arial" w:hAnsi="Arial"/>
                <w:szCs w:val="24"/>
              </w:rPr>
            </w:pPr>
            <w:r w:rsidRPr="0099699C">
              <w:rPr>
                <w:rFonts w:ascii="Arial" w:hAnsi="Arial"/>
                <w:szCs w:val="24"/>
              </w:rPr>
              <w:t>Interest Cover</w:t>
            </w:r>
          </w:p>
        </w:tc>
        <w:tc>
          <w:tcPr>
            <w:tcW w:w="1276" w:type="dxa"/>
          </w:tcPr>
          <w:p w14:paraId="21CC9636" w14:textId="77777777" w:rsidR="00A0568D" w:rsidRPr="0099699C" w:rsidRDefault="00A0568D" w:rsidP="003F2857">
            <w:pPr>
              <w:pStyle w:val="BodyTextIndent"/>
              <w:ind w:left="0" w:firstLine="0"/>
              <w:rPr>
                <w:rFonts w:ascii="Arial" w:hAnsi="Arial"/>
                <w:szCs w:val="24"/>
              </w:rPr>
            </w:pPr>
            <w:r w:rsidRPr="0099699C">
              <w:rPr>
                <w:rFonts w:ascii="Arial" w:hAnsi="Arial"/>
                <w:szCs w:val="24"/>
              </w:rPr>
              <w:t>&gt;110%</w:t>
            </w:r>
          </w:p>
        </w:tc>
        <w:tc>
          <w:tcPr>
            <w:tcW w:w="1559" w:type="dxa"/>
          </w:tcPr>
          <w:p w14:paraId="40AB4D5D" w14:textId="608EC783" w:rsidR="00A0568D" w:rsidRPr="0099699C" w:rsidRDefault="0099699C" w:rsidP="00B71415">
            <w:pPr>
              <w:pStyle w:val="BodyTextIndent"/>
              <w:ind w:left="0" w:firstLine="0"/>
              <w:rPr>
                <w:rFonts w:ascii="Arial" w:hAnsi="Arial"/>
                <w:szCs w:val="24"/>
              </w:rPr>
            </w:pPr>
            <w:r w:rsidRPr="0099699C">
              <w:rPr>
                <w:rFonts w:ascii="Arial" w:hAnsi="Arial"/>
                <w:szCs w:val="24"/>
              </w:rPr>
              <w:t>1545.54</w:t>
            </w:r>
            <w:r w:rsidR="00A0568D" w:rsidRPr="0099699C">
              <w:rPr>
                <w:rFonts w:ascii="Arial" w:hAnsi="Arial"/>
                <w:szCs w:val="24"/>
              </w:rPr>
              <w:t>%</w:t>
            </w:r>
          </w:p>
        </w:tc>
        <w:tc>
          <w:tcPr>
            <w:tcW w:w="1418" w:type="dxa"/>
          </w:tcPr>
          <w:p w14:paraId="06C3C806" w14:textId="77777777" w:rsidR="00A0568D" w:rsidRPr="0099699C" w:rsidRDefault="00A0568D" w:rsidP="003F2857">
            <w:pPr>
              <w:pStyle w:val="BodyTextIndent"/>
              <w:ind w:left="0" w:firstLine="0"/>
              <w:rPr>
                <w:rFonts w:ascii="Arial" w:hAnsi="Arial"/>
                <w:szCs w:val="24"/>
              </w:rPr>
            </w:pPr>
            <w:r w:rsidRPr="0099699C">
              <w:rPr>
                <w:rFonts w:ascii="Arial" w:hAnsi="Arial"/>
                <w:szCs w:val="24"/>
              </w:rPr>
              <w:t>Pass</w:t>
            </w:r>
          </w:p>
        </w:tc>
      </w:tr>
      <w:tr w:rsidR="009547FD" w:rsidRPr="0099699C" w14:paraId="1E0914FE" w14:textId="77777777" w:rsidTr="003F2857">
        <w:trPr>
          <w:trHeight w:val="280"/>
        </w:trPr>
        <w:tc>
          <w:tcPr>
            <w:tcW w:w="3402" w:type="dxa"/>
          </w:tcPr>
          <w:p w14:paraId="056644A1" w14:textId="77777777" w:rsidR="00A0568D" w:rsidRPr="0099699C" w:rsidRDefault="00D74D53" w:rsidP="003F2857">
            <w:pPr>
              <w:pStyle w:val="BodyTextIndent"/>
              <w:ind w:left="0" w:firstLine="0"/>
              <w:rPr>
                <w:rFonts w:ascii="Arial" w:hAnsi="Arial"/>
                <w:szCs w:val="24"/>
              </w:rPr>
            </w:pPr>
            <w:r w:rsidRPr="0099699C">
              <w:rPr>
                <w:rFonts w:ascii="Arial" w:hAnsi="Arial"/>
                <w:szCs w:val="24"/>
              </w:rPr>
              <w:t xml:space="preserve">Gearing </w:t>
            </w:r>
            <w:r w:rsidR="00A0568D" w:rsidRPr="0099699C">
              <w:rPr>
                <w:rFonts w:ascii="Arial" w:hAnsi="Arial"/>
                <w:szCs w:val="24"/>
              </w:rPr>
              <w:t>Cover</w:t>
            </w:r>
          </w:p>
        </w:tc>
        <w:tc>
          <w:tcPr>
            <w:tcW w:w="1276" w:type="dxa"/>
          </w:tcPr>
          <w:p w14:paraId="3F639753" w14:textId="77777777" w:rsidR="00A0568D" w:rsidRPr="0099699C" w:rsidRDefault="00A0568D" w:rsidP="003F2857">
            <w:pPr>
              <w:pStyle w:val="BodyTextIndent"/>
              <w:ind w:left="0" w:firstLine="0"/>
              <w:rPr>
                <w:rFonts w:ascii="Arial" w:hAnsi="Arial"/>
                <w:szCs w:val="24"/>
              </w:rPr>
            </w:pPr>
            <w:r w:rsidRPr="0099699C">
              <w:rPr>
                <w:rFonts w:ascii="Arial" w:hAnsi="Arial"/>
                <w:szCs w:val="24"/>
              </w:rPr>
              <w:t>&lt;65%</w:t>
            </w:r>
          </w:p>
        </w:tc>
        <w:tc>
          <w:tcPr>
            <w:tcW w:w="1559" w:type="dxa"/>
          </w:tcPr>
          <w:p w14:paraId="6AB125E3" w14:textId="2E7050B6" w:rsidR="00A0568D" w:rsidRPr="0099699C" w:rsidRDefault="009547FD" w:rsidP="00B71415">
            <w:pPr>
              <w:pStyle w:val="BodyTextIndent"/>
              <w:ind w:left="0" w:firstLine="0"/>
              <w:rPr>
                <w:rFonts w:ascii="Arial" w:hAnsi="Arial"/>
                <w:szCs w:val="24"/>
              </w:rPr>
            </w:pPr>
            <w:r w:rsidRPr="0099699C">
              <w:rPr>
                <w:rFonts w:ascii="Arial" w:hAnsi="Arial"/>
                <w:szCs w:val="24"/>
              </w:rPr>
              <w:t>61.</w:t>
            </w:r>
            <w:r w:rsidR="0099699C" w:rsidRPr="0099699C">
              <w:rPr>
                <w:rFonts w:ascii="Arial" w:hAnsi="Arial"/>
                <w:szCs w:val="24"/>
              </w:rPr>
              <w:t>21</w:t>
            </w:r>
            <w:r w:rsidR="00A0568D" w:rsidRPr="0099699C">
              <w:rPr>
                <w:rFonts w:ascii="Arial" w:hAnsi="Arial"/>
                <w:szCs w:val="24"/>
              </w:rPr>
              <w:t>%</w:t>
            </w:r>
          </w:p>
        </w:tc>
        <w:tc>
          <w:tcPr>
            <w:tcW w:w="1418" w:type="dxa"/>
          </w:tcPr>
          <w:p w14:paraId="29077465" w14:textId="77777777" w:rsidR="00A0568D" w:rsidRPr="0099699C" w:rsidRDefault="00A0568D" w:rsidP="003F2857">
            <w:pPr>
              <w:pStyle w:val="BodyTextIndent"/>
              <w:ind w:left="0" w:firstLine="0"/>
              <w:rPr>
                <w:rFonts w:ascii="Arial" w:hAnsi="Arial"/>
                <w:szCs w:val="24"/>
              </w:rPr>
            </w:pPr>
            <w:r w:rsidRPr="0099699C">
              <w:rPr>
                <w:rFonts w:ascii="Arial" w:hAnsi="Arial"/>
                <w:szCs w:val="24"/>
              </w:rPr>
              <w:t>Pass</w:t>
            </w:r>
          </w:p>
        </w:tc>
      </w:tr>
    </w:tbl>
    <w:p w14:paraId="5D7726FE" w14:textId="77777777" w:rsidR="00A0568D" w:rsidRPr="0099699C" w:rsidRDefault="00A0568D" w:rsidP="00A05C16">
      <w:pPr>
        <w:pStyle w:val="BodyTextIndent"/>
      </w:pPr>
    </w:p>
    <w:sectPr w:rsidR="00A0568D" w:rsidRPr="0099699C" w:rsidSect="00756DF1">
      <w:pgSz w:w="11906" w:h="16838"/>
      <w:pgMar w:top="1134"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86352" w14:textId="77777777" w:rsidR="005F6857" w:rsidRDefault="005F6857">
      <w:r>
        <w:separator/>
      </w:r>
    </w:p>
  </w:endnote>
  <w:endnote w:type="continuationSeparator" w:id="0">
    <w:p w14:paraId="0848F653" w14:textId="77777777" w:rsidR="005F6857" w:rsidRDefault="005F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7FE0" w14:textId="77777777" w:rsidR="005D6AD6" w:rsidRDefault="005D6AD6" w:rsidP="00F75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58B84" w14:textId="77777777" w:rsidR="005D6AD6" w:rsidRDefault="005D6AD6" w:rsidP="003707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ECFF" w14:textId="77777777" w:rsidR="005D6AD6" w:rsidRDefault="005D6AD6" w:rsidP="00665F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F25BE" w14:textId="77777777" w:rsidR="005F6857" w:rsidRDefault="005F6857">
      <w:r>
        <w:separator/>
      </w:r>
    </w:p>
  </w:footnote>
  <w:footnote w:type="continuationSeparator" w:id="0">
    <w:p w14:paraId="08983AE5" w14:textId="77777777" w:rsidR="005F6857" w:rsidRDefault="005F6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4B6"/>
    <w:multiLevelType w:val="hybridMultilevel"/>
    <w:tmpl w:val="E056D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E211A1"/>
    <w:multiLevelType w:val="hybridMultilevel"/>
    <w:tmpl w:val="EB965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8542C7B"/>
    <w:multiLevelType w:val="hybridMultilevel"/>
    <w:tmpl w:val="D12E6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884E2D"/>
    <w:multiLevelType w:val="multilevel"/>
    <w:tmpl w:val="D7102F18"/>
    <w:lvl w:ilvl="0">
      <w:start w:val="4"/>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D7040C"/>
    <w:multiLevelType w:val="hybridMultilevel"/>
    <w:tmpl w:val="BA003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582933"/>
    <w:multiLevelType w:val="multilevel"/>
    <w:tmpl w:val="82AC90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E908E9"/>
    <w:multiLevelType w:val="multilevel"/>
    <w:tmpl w:val="126C03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3C34B9D"/>
    <w:multiLevelType w:val="multilevel"/>
    <w:tmpl w:val="FC0CEA8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85E7C8F"/>
    <w:multiLevelType w:val="multilevel"/>
    <w:tmpl w:val="9F0627F8"/>
    <w:lvl w:ilvl="0">
      <w:start w:val="4"/>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8DB3ABF"/>
    <w:multiLevelType w:val="hybridMultilevel"/>
    <w:tmpl w:val="C31EF16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1AF27735"/>
    <w:multiLevelType w:val="hybridMultilevel"/>
    <w:tmpl w:val="F23441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BF82223"/>
    <w:multiLevelType w:val="multilevel"/>
    <w:tmpl w:val="9A02E4FC"/>
    <w:lvl w:ilvl="0">
      <w:start w:val="4"/>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713801"/>
    <w:multiLevelType w:val="multilevel"/>
    <w:tmpl w:val="93B2BBB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F3326D2"/>
    <w:multiLevelType w:val="hybridMultilevel"/>
    <w:tmpl w:val="FD182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54B621A"/>
    <w:multiLevelType w:val="multilevel"/>
    <w:tmpl w:val="B02C02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7326D62"/>
    <w:multiLevelType w:val="multilevel"/>
    <w:tmpl w:val="140C895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A507902"/>
    <w:multiLevelType w:val="multilevel"/>
    <w:tmpl w:val="2AC4143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CD52962"/>
    <w:multiLevelType w:val="multilevel"/>
    <w:tmpl w:val="7E4A4FA0"/>
    <w:lvl w:ilvl="0">
      <w:start w:val="4"/>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AB225D"/>
    <w:multiLevelType w:val="multilevel"/>
    <w:tmpl w:val="FFE8184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F0349B3"/>
    <w:multiLevelType w:val="multilevel"/>
    <w:tmpl w:val="2052534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29C4831"/>
    <w:multiLevelType w:val="multilevel"/>
    <w:tmpl w:val="A2F4EB58"/>
    <w:lvl w:ilvl="0">
      <w:start w:val="4"/>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50D664B"/>
    <w:multiLevelType w:val="hybridMultilevel"/>
    <w:tmpl w:val="0E683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A8E0D17"/>
    <w:multiLevelType w:val="multilevel"/>
    <w:tmpl w:val="D02E1BEA"/>
    <w:lvl w:ilvl="0">
      <w:start w:val="4"/>
      <w:numFmt w:val="none"/>
      <w:lvlText w:val="4.5"/>
      <w:lvlJc w:val="left"/>
      <w:pPr>
        <w:tabs>
          <w:tab w:val="num" w:pos="360"/>
        </w:tabs>
        <w:ind w:left="360" w:hanging="360"/>
      </w:pPr>
      <w:rPr>
        <w:rFonts w:cs="Times New Roman" w:hint="default"/>
        <w:u w:val="none"/>
      </w:rPr>
    </w:lvl>
    <w:lvl w:ilvl="1">
      <w:start w:val="7"/>
      <w:numFmt w:val="none"/>
      <w:lvlText w:val="4.8"/>
      <w:lvlJc w:val="left"/>
      <w:pPr>
        <w:tabs>
          <w:tab w:val="num" w:pos="360"/>
        </w:tabs>
        <w:ind w:left="360" w:hanging="360"/>
      </w:pPr>
      <w:rPr>
        <w:rFonts w:cs="Times New Roman" w:hint="default"/>
        <w:u w:val="none"/>
      </w:rPr>
    </w:lvl>
    <w:lvl w:ilvl="2">
      <w:start w:val="1"/>
      <w:numFmt w:val="none"/>
      <w:lvlText w:val="4.1"/>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3">
    <w:nsid w:val="3F8C312D"/>
    <w:multiLevelType w:val="multilevel"/>
    <w:tmpl w:val="8A5A0DB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5436185"/>
    <w:multiLevelType w:val="multilevel"/>
    <w:tmpl w:val="E176F7B2"/>
    <w:lvl w:ilvl="0">
      <w:start w:val="6"/>
      <w:numFmt w:val="decimal"/>
      <w:lvlText w:val="%1"/>
      <w:lvlJc w:val="left"/>
      <w:pPr>
        <w:tabs>
          <w:tab w:val="num" w:pos="705"/>
        </w:tabs>
        <w:ind w:left="705" w:hanging="705"/>
      </w:pPr>
      <w:rPr>
        <w:rFonts w:cs="Times New Roman" w:hint="default"/>
        <w:color w:val="auto"/>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25">
    <w:nsid w:val="50BD1D91"/>
    <w:multiLevelType w:val="hybridMultilevel"/>
    <w:tmpl w:val="1B18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FC782A"/>
    <w:multiLevelType w:val="hybridMultilevel"/>
    <w:tmpl w:val="887688C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7">
    <w:nsid w:val="524D1876"/>
    <w:multiLevelType w:val="multilevel"/>
    <w:tmpl w:val="5964ED72"/>
    <w:lvl w:ilvl="0">
      <w:start w:val="4"/>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36F040A"/>
    <w:multiLevelType w:val="multilevel"/>
    <w:tmpl w:val="2B7EF77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80B2F3A"/>
    <w:multiLevelType w:val="hybridMultilevel"/>
    <w:tmpl w:val="17EE55C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nsid w:val="689036EF"/>
    <w:multiLevelType w:val="hybridMultilevel"/>
    <w:tmpl w:val="EF6C9D66"/>
    <w:lvl w:ilvl="0" w:tplc="1414916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B3E014A"/>
    <w:multiLevelType w:val="hybridMultilevel"/>
    <w:tmpl w:val="4DCCE8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717D2163"/>
    <w:multiLevelType w:val="multilevel"/>
    <w:tmpl w:val="F79A97E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7567AE5"/>
    <w:multiLevelType w:val="hybridMultilevel"/>
    <w:tmpl w:val="CCD6BF26"/>
    <w:lvl w:ilvl="0" w:tplc="EE747C72">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F70446C"/>
    <w:multiLevelType w:val="hybridMultilevel"/>
    <w:tmpl w:val="A676978A"/>
    <w:lvl w:ilvl="0" w:tplc="2D7A25AE">
      <w:numFmt w:val="none"/>
      <w:lvlText w:val=""/>
      <w:lvlJc w:val="left"/>
      <w:pPr>
        <w:tabs>
          <w:tab w:val="num" w:pos="360"/>
        </w:tabs>
      </w:pPr>
      <w:rPr>
        <w:rFonts w:cs="Times New Roman"/>
      </w:rPr>
    </w:lvl>
    <w:lvl w:ilvl="1" w:tplc="0D5AAB10">
      <w:start w:val="22"/>
      <w:numFmt w:val="bullet"/>
      <w:lvlText w:val="-"/>
      <w:lvlJc w:val="left"/>
      <w:pPr>
        <w:tabs>
          <w:tab w:val="num" w:pos="1755"/>
        </w:tabs>
        <w:ind w:left="1755" w:hanging="465"/>
      </w:pPr>
      <w:rPr>
        <w:rFonts w:ascii="Arial" w:eastAsia="Times New Roman" w:hAnsi="Arial" w:hint="default"/>
      </w:rPr>
    </w:lvl>
    <w:lvl w:ilvl="2" w:tplc="0E2E6AB4">
      <w:start w:val="1"/>
      <w:numFmt w:val="bullet"/>
      <w:lvlText w:val=""/>
      <w:lvlJc w:val="left"/>
      <w:pPr>
        <w:tabs>
          <w:tab w:val="num" w:pos="2370"/>
        </w:tabs>
        <w:ind w:left="2370" w:hanging="360"/>
      </w:pPr>
      <w:rPr>
        <w:rFonts w:ascii="Symbol" w:hAnsi="Symbol" w:hint="default"/>
        <w:color w:val="auto"/>
      </w:rPr>
    </w:lvl>
    <w:lvl w:ilvl="3" w:tplc="F6B88B12" w:tentative="1">
      <w:start w:val="1"/>
      <w:numFmt w:val="bullet"/>
      <w:lvlText w:val=""/>
      <w:lvlJc w:val="left"/>
      <w:pPr>
        <w:tabs>
          <w:tab w:val="num" w:pos="3090"/>
        </w:tabs>
        <w:ind w:left="3090" w:hanging="360"/>
      </w:pPr>
      <w:rPr>
        <w:rFonts w:ascii="Symbol" w:hAnsi="Symbol" w:hint="default"/>
      </w:rPr>
    </w:lvl>
    <w:lvl w:ilvl="4" w:tplc="CC96483A" w:tentative="1">
      <w:start w:val="1"/>
      <w:numFmt w:val="bullet"/>
      <w:lvlText w:val="o"/>
      <w:lvlJc w:val="left"/>
      <w:pPr>
        <w:tabs>
          <w:tab w:val="num" w:pos="3810"/>
        </w:tabs>
        <w:ind w:left="3810" w:hanging="360"/>
      </w:pPr>
      <w:rPr>
        <w:rFonts w:ascii="Courier New" w:hAnsi="Courier New" w:hint="default"/>
      </w:rPr>
    </w:lvl>
    <w:lvl w:ilvl="5" w:tplc="486A6CAA" w:tentative="1">
      <w:start w:val="1"/>
      <w:numFmt w:val="bullet"/>
      <w:lvlText w:val=""/>
      <w:lvlJc w:val="left"/>
      <w:pPr>
        <w:tabs>
          <w:tab w:val="num" w:pos="4530"/>
        </w:tabs>
        <w:ind w:left="4530" w:hanging="360"/>
      </w:pPr>
      <w:rPr>
        <w:rFonts w:ascii="Wingdings" w:hAnsi="Wingdings" w:hint="default"/>
      </w:rPr>
    </w:lvl>
    <w:lvl w:ilvl="6" w:tplc="12885988" w:tentative="1">
      <w:start w:val="1"/>
      <w:numFmt w:val="bullet"/>
      <w:lvlText w:val=""/>
      <w:lvlJc w:val="left"/>
      <w:pPr>
        <w:tabs>
          <w:tab w:val="num" w:pos="5250"/>
        </w:tabs>
        <w:ind w:left="5250" w:hanging="360"/>
      </w:pPr>
      <w:rPr>
        <w:rFonts w:ascii="Symbol" w:hAnsi="Symbol" w:hint="default"/>
      </w:rPr>
    </w:lvl>
    <w:lvl w:ilvl="7" w:tplc="20584FAA" w:tentative="1">
      <w:start w:val="1"/>
      <w:numFmt w:val="bullet"/>
      <w:lvlText w:val="o"/>
      <w:lvlJc w:val="left"/>
      <w:pPr>
        <w:tabs>
          <w:tab w:val="num" w:pos="5970"/>
        </w:tabs>
        <w:ind w:left="5970" w:hanging="360"/>
      </w:pPr>
      <w:rPr>
        <w:rFonts w:ascii="Courier New" w:hAnsi="Courier New" w:hint="default"/>
      </w:rPr>
    </w:lvl>
    <w:lvl w:ilvl="8" w:tplc="9ABC95FC" w:tentative="1">
      <w:start w:val="1"/>
      <w:numFmt w:val="bullet"/>
      <w:lvlText w:val=""/>
      <w:lvlJc w:val="left"/>
      <w:pPr>
        <w:tabs>
          <w:tab w:val="num" w:pos="6690"/>
        </w:tabs>
        <w:ind w:left="6690" w:hanging="360"/>
      </w:pPr>
      <w:rPr>
        <w:rFonts w:ascii="Wingdings" w:hAnsi="Wingdings" w:hint="default"/>
      </w:rPr>
    </w:lvl>
  </w:abstractNum>
  <w:num w:numId="1">
    <w:abstractNumId w:val="7"/>
  </w:num>
  <w:num w:numId="2">
    <w:abstractNumId w:val="34"/>
  </w:num>
  <w:num w:numId="3">
    <w:abstractNumId w:val="24"/>
  </w:num>
  <w:num w:numId="4">
    <w:abstractNumId w:val="12"/>
  </w:num>
  <w:num w:numId="5">
    <w:abstractNumId w:val="6"/>
  </w:num>
  <w:num w:numId="6">
    <w:abstractNumId w:val="23"/>
  </w:num>
  <w:num w:numId="7">
    <w:abstractNumId w:val="26"/>
  </w:num>
  <w:num w:numId="8">
    <w:abstractNumId w:val="22"/>
  </w:num>
  <w:num w:numId="9">
    <w:abstractNumId w:val="14"/>
  </w:num>
  <w:num w:numId="10">
    <w:abstractNumId w:val="9"/>
  </w:num>
  <w:num w:numId="11">
    <w:abstractNumId w:val="29"/>
  </w:num>
  <w:num w:numId="12">
    <w:abstractNumId w:val="18"/>
  </w:num>
  <w:num w:numId="13">
    <w:abstractNumId w:val="4"/>
  </w:num>
  <w:num w:numId="14">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1"/>
  </w:num>
  <w:num w:numId="17">
    <w:abstractNumId w:val="2"/>
  </w:num>
  <w:num w:numId="18">
    <w:abstractNumId w:val="33"/>
  </w:num>
  <w:num w:numId="19">
    <w:abstractNumId w:val="1"/>
  </w:num>
  <w:num w:numId="20">
    <w:abstractNumId w:val="30"/>
  </w:num>
  <w:num w:numId="21">
    <w:abstractNumId w:val="31"/>
  </w:num>
  <w:num w:numId="22">
    <w:abstractNumId w:val="16"/>
  </w:num>
  <w:num w:numId="23">
    <w:abstractNumId w:val="19"/>
  </w:num>
  <w:num w:numId="24">
    <w:abstractNumId w:val="28"/>
  </w:num>
  <w:num w:numId="25">
    <w:abstractNumId w:val="15"/>
  </w:num>
  <w:num w:numId="26">
    <w:abstractNumId w:val="5"/>
  </w:num>
  <w:num w:numId="27">
    <w:abstractNumId w:val="32"/>
  </w:num>
  <w:num w:numId="28">
    <w:abstractNumId w:val="10"/>
  </w:num>
  <w:num w:numId="29">
    <w:abstractNumId w:val="3"/>
  </w:num>
  <w:num w:numId="30">
    <w:abstractNumId w:val="25"/>
  </w:num>
  <w:num w:numId="31">
    <w:abstractNumId w:val="13"/>
  </w:num>
  <w:num w:numId="32">
    <w:abstractNumId w:val="0"/>
  </w:num>
  <w:num w:numId="33">
    <w:abstractNumId w:val="27"/>
  </w:num>
  <w:num w:numId="34">
    <w:abstractNumId w:val="20"/>
  </w:num>
  <w:num w:numId="35">
    <w:abstractNumId w:val="11"/>
  </w:num>
  <w:num w:numId="36">
    <w:abstractNumId w:val="8"/>
  </w:num>
  <w:num w:numId="3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8A"/>
    <w:rsid w:val="0000091E"/>
    <w:rsid w:val="00000AD7"/>
    <w:rsid w:val="000013BB"/>
    <w:rsid w:val="0000241A"/>
    <w:rsid w:val="00005009"/>
    <w:rsid w:val="00005FD1"/>
    <w:rsid w:val="00006901"/>
    <w:rsid w:val="0000776B"/>
    <w:rsid w:val="00007E7D"/>
    <w:rsid w:val="000102D0"/>
    <w:rsid w:val="00011923"/>
    <w:rsid w:val="00012318"/>
    <w:rsid w:val="000137B5"/>
    <w:rsid w:val="00014BD4"/>
    <w:rsid w:val="000155C4"/>
    <w:rsid w:val="00017E44"/>
    <w:rsid w:val="00020F7C"/>
    <w:rsid w:val="000222BA"/>
    <w:rsid w:val="00022B6D"/>
    <w:rsid w:val="00022D2A"/>
    <w:rsid w:val="000241FC"/>
    <w:rsid w:val="000247A2"/>
    <w:rsid w:val="00024FFE"/>
    <w:rsid w:val="00026262"/>
    <w:rsid w:val="000263A7"/>
    <w:rsid w:val="00026FBB"/>
    <w:rsid w:val="00030181"/>
    <w:rsid w:val="0003053E"/>
    <w:rsid w:val="00030B72"/>
    <w:rsid w:val="00031411"/>
    <w:rsid w:val="000315B6"/>
    <w:rsid w:val="000331B7"/>
    <w:rsid w:val="00033CB2"/>
    <w:rsid w:val="000347EA"/>
    <w:rsid w:val="00034A0F"/>
    <w:rsid w:val="00034BC4"/>
    <w:rsid w:val="0003661D"/>
    <w:rsid w:val="00037820"/>
    <w:rsid w:val="00040055"/>
    <w:rsid w:val="000403A8"/>
    <w:rsid w:val="00041E19"/>
    <w:rsid w:val="000423A4"/>
    <w:rsid w:val="00044D37"/>
    <w:rsid w:val="000453D5"/>
    <w:rsid w:val="00046035"/>
    <w:rsid w:val="000469CF"/>
    <w:rsid w:val="00046C8D"/>
    <w:rsid w:val="00050BFB"/>
    <w:rsid w:val="00050D6F"/>
    <w:rsid w:val="00051FA1"/>
    <w:rsid w:val="00052C18"/>
    <w:rsid w:val="00052C5F"/>
    <w:rsid w:val="000530A2"/>
    <w:rsid w:val="00055547"/>
    <w:rsid w:val="00055B51"/>
    <w:rsid w:val="00055E5F"/>
    <w:rsid w:val="00061641"/>
    <w:rsid w:val="00061EAB"/>
    <w:rsid w:val="0006270C"/>
    <w:rsid w:val="00062990"/>
    <w:rsid w:val="00062D3E"/>
    <w:rsid w:val="0006338B"/>
    <w:rsid w:val="000639D2"/>
    <w:rsid w:val="00064FAF"/>
    <w:rsid w:val="000654E9"/>
    <w:rsid w:val="00067DC2"/>
    <w:rsid w:val="00070B41"/>
    <w:rsid w:val="000726F0"/>
    <w:rsid w:val="00072A08"/>
    <w:rsid w:val="0007582C"/>
    <w:rsid w:val="00075BA4"/>
    <w:rsid w:val="00075C6B"/>
    <w:rsid w:val="0007677F"/>
    <w:rsid w:val="00077183"/>
    <w:rsid w:val="00077720"/>
    <w:rsid w:val="00077A55"/>
    <w:rsid w:val="00082D78"/>
    <w:rsid w:val="00083979"/>
    <w:rsid w:val="000841B9"/>
    <w:rsid w:val="00084279"/>
    <w:rsid w:val="000846A0"/>
    <w:rsid w:val="00084858"/>
    <w:rsid w:val="00084FDF"/>
    <w:rsid w:val="000852A8"/>
    <w:rsid w:val="00086272"/>
    <w:rsid w:val="0008632C"/>
    <w:rsid w:val="00086888"/>
    <w:rsid w:val="00087CB4"/>
    <w:rsid w:val="000916F7"/>
    <w:rsid w:val="0009207E"/>
    <w:rsid w:val="00092F77"/>
    <w:rsid w:val="000941E2"/>
    <w:rsid w:val="00095127"/>
    <w:rsid w:val="000953EE"/>
    <w:rsid w:val="00096C2C"/>
    <w:rsid w:val="0009733F"/>
    <w:rsid w:val="000974AA"/>
    <w:rsid w:val="000A0699"/>
    <w:rsid w:val="000A0FB5"/>
    <w:rsid w:val="000A126C"/>
    <w:rsid w:val="000A1C1D"/>
    <w:rsid w:val="000A209C"/>
    <w:rsid w:val="000A363F"/>
    <w:rsid w:val="000A4758"/>
    <w:rsid w:val="000A6316"/>
    <w:rsid w:val="000A7D93"/>
    <w:rsid w:val="000B0E68"/>
    <w:rsid w:val="000B1049"/>
    <w:rsid w:val="000B1864"/>
    <w:rsid w:val="000B1DE9"/>
    <w:rsid w:val="000B1E1D"/>
    <w:rsid w:val="000B2F71"/>
    <w:rsid w:val="000B3783"/>
    <w:rsid w:val="000B5F1E"/>
    <w:rsid w:val="000B7D17"/>
    <w:rsid w:val="000C03F9"/>
    <w:rsid w:val="000C0D4D"/>
    <w:rsid w:val="000C1878"/>
    <w:rsid w:val="000C2A9B"/>
    <w:rsid w:val="000C3978"/>
    <w:rsid w:val="000C3EB7"/>
    <w:rsid w:val="000C4C71"/>
    <w:rsid w:val="000C4E1A"/>
    <w:rsid w:val="000C50B1"/>
    <w:rsid w:val="000C68A9"/>
    <w:rsid w:val="000C79E2"/>
    <w:rsid w:val="000D1DCC"/>
    <w:rsid w:val="000D3734"/>
    <w:rsid w:val="000D64ED"/>
    <w:rsid w:val="000E1CEB"/>
    <w:rsid w:val="000E301B"/>
    <w:rsid w:val="000E3654"/>
    <w:rsid w:val="000E4B1B"/>
    <w:rsid w:val="000E54BA"/>
    <w:rsid w:val="000E62A0"/>
    <w:rsid w:val="000E6CA8"/>
    <w:rsid w:val="000F083C"/>
    <w:rsid w:val="000F1534"/>
    <w:rsid w:val="000F3673"/>
    <w:rsid w:val="000F4100"/>
    <w:rsid w:val="000F52EF"/>
    <w:rsid w:val="000F5A04"/>
    <w:rsid w:val="000F5B00"/>
    <w:rsid w:val="000F6187"/>
    <w:rsid w:val="000F6611"/>
    <w:rsid w:val="000F6A7E"/>
    <w:rsid w:val="00101184"/>
    <w:rsid w:val="001032B7"/>
    <w:rsid w:val="001035FF"/>
    <w:rsid w:val="001038AB"/>
    <w:rsid w:val="001041AD"/>
    <w:rsid w:val="00104A24"/>
    <w:rsid w:val="00107185"/>
    <w:rsid w:val="001071F2"/>
    <w:rsid w:val="001105A4"/>
    <w:rsid w:val="0011089E"/>
    <w:rsid w:val="001125AC"/>
    <w:rsid w:val="00112BCC"/>
    <w:rsid w:val="00112C6A"/>
    <w:rsid w:val="00114C46"/>
    <w:rsid w:val="001161CB"/>
    <w:rsid w:val="001179C6"/>
    <w:rsid w:val="0012319D"/>
    <w:rsid w:val="00123392"/>
    <w:rsid w:val="00123DC4"/>
    <w:rsid w:val="00124BB2"/>
    <w:rsid w:val="001257B3"/>
    <w:rsid w:val="00126117"/>
    <w:rsid w:val="00127949"/>
    <w:rsid w:val="00130B3E"/>
    <w:rsid w:val="001310DD"/>
    <w:rsid w:val="001318E4"/>
    <w:rsid w:val="00131FB5"/>
    <w:rsid w:val="00132535"/>
    <w:rsid w:val="00132715"/>
    <w:rsid w:val="00134916"/>
    <w:rsid w:val="00135072"/>
    <w:rsid w:val="00135CAF"/>
    <w:rsid w:val="00137519"/>
    <w:rsid w:val="001377B4"/>
    <w:rsid w:val="001403F7"/>
    <w:rsid w:val="00140894"/>
    <w:rsid w:val="00140E8E"/>
    <w:rsid w:val="00142F61"/>
    <w:rsid w:val="00143540"/>
    <w:rsid w:val="00143FD5"/>
    <w:rsid w:val="00144843"/>
    <w:rsid w:val="001449E8"/>
    <w:rsid w:val="0014508A"/>
    <w:rsid w:val="00145F2F"/>
    <w:rsid w:val="00146C09"/>
    <w:rsid w:val="00146DAF"/>
    <w:rsid w:val="00150522"/>
    <w:rsid w:val="0015112B"/>
    <w:rsid w:val="00151412"/>
    <w:rsid w:val="00151993"/>
    <w:rsid w:val="001527E1"/>
    <w:rsid w:val="00154EB3"/>
    <w:rsid w:val="00155496"/>
    <w:rsid w:val="00157D14"/>
    <w:rsid w:val="00164185"/>
    <w:rsid w:val="00164E23"/>
    <w:rsid w:val="00164F6D"/>
    <w:rsid w:val="001665D8"/>
    <w:rsid w:val="001666B5"/>
    <w:rsid w:val="0016744C"/>
    <w:rsid w:val="00167C0C"/>
    <w:rsid w:val="001703C9"/>
    <w:rsid w:val="0017056F"/>
    <w:rsid w:val="0017249C"/>
    <w:rsid w:val="00172D51"/>
    <w:rsid w:val="00172E3E"/>
    <w:rsid w:val="00173D2F"/>
    <w:rsid w:val="00174C88"/>
    <w:rsid w:val="00175B8A"/>
    <w:rsid w:val="00175FEE"/>
    <w:rsid w:val="00176F4A"/>
    <w:rsid w:val="00177CC7"/>
    <w:rsid w:val="00180992"/>
    <w:rsid w:val="00180F0F"/>
    <w:rsid w:val="00181DD2"/>
    <w:rsid w:val="0018230E"/>
    <w:rsid w:val="00184A30"/>
    <w:rsid w:val="00184CEB"/>
    <w:rsid w:val="001861B3"/>
    <w:rsid w:val="001876EC"/>
    <w:rsid w:val="00191481"/>
    <w:rsid w:val="00194A76"/>
    <w:rsid w:val="00194FE0"/>
    <w:rsid w:val="00195DA1"/>
    <w:rsid w:val="0019626B"/>
    <w:rsid w:val="0019775E"/>
    <w:rsid w:val="001A0D27"/>
    <w:rsid w:val="001A12A3"/>
    <w:rsid w:val="001A15D5"/>
    <w:rsid w:val="001A6525"/>
    <w:rsid w:val="001A7E12"/>
    <w:rsid w:val="001B04C5"/>
    <w:rsid w:val="001B0D70"/>
    <w:rsid w:val="001B14EC"/>
    <w:rsid w:val="001B5738"/>
    <w:rsid w:val="001B592B"/>
    <w:rsid w:val="001B6E15"/>
    <w:rsid w:val="001B776B"/>
    <w:rsid w:val="001C0214"/>
    <w:rsid w:val="001C1838"/>
    <w:rsid w:val="001C224B"/>
    <w:rsid w:val="001C33BF"/>
    <w:rsid w:val="001C4300"/>
    <w:rsid w:val="001C5ABB"/>
    <w:rsid w:val="001C62EF"/>
    <w:rsid w:val="001C6A0A"/>
    <w:rsid w:val="001D22B8"/>
    <w:rsid w:val="001D2B32"/>
    <w:rsid w:val="001D3C6D"/>
    <w:rsid w:val="001D47E7"/>
    <w:rsid w:val="001D5004"/>
    <w:rsid w:val="001D6741"/>
    <w:rsid w:val="001D7D8C"/>
    <w:rsid w:val="001E0662"/>
    <w:rsid w:val="001E2F46"/>
    <w:rsid w:val="001E32CA"/>
    <w:rsid w:val="001E58F4"/>
    <w:rsid w:val="001E5F13"/>
    <w:rsid w:val="001E6D84"/>
    <w:rsid w:val="001E7FD5"/>
    <w:rsid w:val="001F0308"/>
    <w:rsid w:val="001F0581"/>
    <w:rsid w:val="001F063A"/>
    <w:rsid w:val="001F0FAA"/>
    <w:rsid w:val="001F1004"/>
    <w:rsid w:val="001F1172"/>
    <w:rsid w:val="001F3492"/>
    <w:rsid w:val="001F3972"/>
    <w:rsid w:val="001F3ACE"/>
    <w:rsid w:val="001F4B80"/>
    <w:rsid w:val="001F6424"/>
    <w:rsid w:val="001F66F3"/>
    <w:rsid w:val="001F6B45"/>
    <w:rsid w:val="00200374"/>
    <w:rsid w:val="0020077D"/>
    <w:rsid w:val="00204017"/>
    <w:rsid w:val="002045B8"/>
    <w:rsid w:val="002100C6"/>
    <w:rsid w:val="002100F7"/>
    <w:rsid w:val="00210C44"/>
    <w:rsid w:val="00212566"/>
    <w:rsid w:val="002125CA"/>
    <w:rsid w:val="00212C8A"/>
    <w:rsid w:val="0021317C"/>
    <w:rsid w:val="00213C89"/>
    <w:rsid w:val="00215510"/>
    <w:rsid w:val="00220D39"/>
    <w:rsid w:val="00223D7B"/>
    <w:rsid w:val="00223E9B"/>
    <w:rsid w:val="00224491"/>
    <w:rsid w:val="00224ED9"/>
    <w:rsid w:val="00231442"/>
    <w:rsid w:val="00231C1B"/>
    <w:rsid w:val="002321B1"/>
    <w:rsid w:val="002355EB"/>
    <w:rsid w:val="00236119"/>
    <w:rsid w:val="00237BC2"/>
    <w:rsid w:val="002401B0"/>
    <w:rsid w:val="0024318C"/>
    <w:rsid w:val="0024658D"/>
    <w:rsid w:val="00252152"/>
    <w:rsid w:val="00253182"/>
    <w:rsid w:val="002536A3"/>
    <w:rsid w:val="00253E7F"/>
    <w:rsid w:val="00254E46"/>
    <w:rsid w:val="00255DC3"/>
    <w:rsid w:val="00261C9D"/>
    <w:rsid w:val="00261E09"/>
    <w:rsid w:val="00263552"/>
    <w:rsid w:val="002636D5"/>
    <w:rsid w:val="00264A91"/>
    <w:rsid w:val="00266BC1"/>
    <w:rsid w:val="002679F2"/>
    <w:rsid w:val="00270A05"/>
    <w:rsid w:val="002738AB"/>
    <w:rsid w:val="00273980"/>
    <w:rsid w:val="00273C33"/>
    <w:rsid w:val="002746D6"/>
    <w:rsid w:val="002747C7"/>
    <w:rsid w:val="00274BE1"/>
    <w:rsid w:val="00274F93"/>
    <w:rsid w:val="0027608F"/>
    <w:rsid w:val="002768A1"/>
    <w:rsid w:val="002803F8"/>
    <w:rsid w:val="0028059F"/>
    <w:rsid w:val="00280796"/>
    <w:rsid w:val="00283EB2"/>
    <w:rsid w:val="002841FF"/>
    <w:rsid w:val="00286243"/>
    <w:rsid w:val="00286978"/>
    <w:rsid w:val="00287247"/>
    <w:rsid w:val="00287957"/>
    <w:rsid w:val="00287B6A"/>
    <w:rsid w:val="00290FD5"/>
    <w:rsid w:val="0029113D"/>
    <w:rsid w:val="0029114A"/>
    <w:rsid w:val="00293E79"/>
    <w:rsid w:val="00294A20"/>
    <w:rsid w:val="002960C9"/>
    <w:rsid w:val="00296210"/>
    <w:rsid w:val="00297225"/>
    <w:rsid w:val="002977F1"/>
    <w:rsid w:val="002A042A"/>
    <w:rsid w:val="002A0B27"/>
    <w:rsid w:val="002A365C"/>
    <w:rsid w:val="002A44D1"/>
    <w:rsid w:val="002A540D"/>
    <w:rsid w:val="002A62E7"/>
    <w:rsid w:val="002A79F5"/>
    <w:rsid w:val="002B23A3"/>
    <w:rsid w:val="002B23F2"/>
    <w:rsid w:val="002B2654"/>
    <w:rsid w:val="002B2A61"/>
    <w:rsid w:val="002B4A85"/>
    <w:rsid w:val="002B524B"/>
    <w:rsid w:val="002B57A6"/>
    <w:rsid w:val="002B7867"/>
    <w:rsid w:val="002C01C0"/>
    <w:rsid w:val="002C04AE"/>
    <w:rsid w:val="002C14B9"/>
    <w:rsid w:val="002C2568"/>
    <w:rsid w:val="002C25EC"/>
    <w:rsid w:val="002C37EA"/>
    <w:rsid w:val="002C3A7F"/>
    <w:rsid w:val="002C3EF3"/>
    <w:rsid w:val="002C4984"/>
    <w:rsid w:val="002C50E0"/>
    <w:rsid w:val="002D02EA"/>
    <w:rsid w:val="002D1541"/>
    <w:rsid w:val="002D17E1"/>
    <w:rsid w:val="002D351C"/>
    <w:rsid w:val="002D4074"/>
    <w:rsid w:val="002D6088"/>
    <w:rsid w:val="002D652A"/>
    <w:rsid w:val="002D712F"/>
    <w:rsid w:val="002D7345"/>
    <w:rsid w:val="002D75CE"/>
    <w:rsid w:val="002E195F"/>
    <w:rsid w:val="002E1DBD"/>
    <w:rsid w:val="002E1FE9"/>
    <w:rsid w:val="002E2D7C"/>
    <w:rsid w:val="002E35FC"/>
    <w:rsid w:val="002E489B"/>
    <w:rsid w:val="002E653E"/>
    <w:rsid w:val="002E6BC1"/>
    <w:rsid w:val="002E7B1D"/>
    <w:rsid w:val="002F1148"/>
    <w:rsid w:val="002F37ED"/>
    <w:rsid w:val="002F3ACE"/>
    <w:rsid w:val="002F6754"/>
    <w:rsid w:val="002F69F8"/>
    <w:rsid w:val="002F6B87"/>
    <w:rsid w:val="002F701B"/>
    <w:rsid w:val="002F7BA4"/>
    <w:rsid w:val="003008B5"/>
    <w:rsid w:val="0030178E"/>
    <w:rsid w:val="003018BC"/>
    <w:rsid w:val="00301A3B"/>
    <w:rsid w:val="0030275A"/>
    <w:rsid w:val="00304450"/>
    <w:rsid w:val="003051E8"/>
    <w:rsid w:val="00305A8C"/>
    <w:rsid w:val="003061B7"/>
    <w:rsid w:val="00306333"/>
    <w:rsid w:val="00311F31"/>
    <w:rsid w:val="0031208A"/>
    <w:rsid w:val="00314C34"/>
    <w:rsid w:val="003151C7"/>
    <w:rsid w:val="00315A7D"/>
    <w:rsid w:val="00316C59"/>
    <w:rsid w:val="00317034"/>
    <w:rsid w:val="003205ED"/>
    <w:rsid w:val="0032062E"/>
    <w:rsid w:val="003224FA"/>
    <w:rsid w:val="00323767"/>
    <w:rsid w:val="00325C9E"/>
    <w:rsid w:val="00330756"/>
    <w:rsid w:val="003310D8"/>
    <w:rsid w:val="00332A1F"/>
    <w:rsid w:val="00332B69"/>
    <w:rsid w:val="00332E37"/>
    <w:rsid w:val="003332AE"/>
    <w:rsid w:val="00333B3F"/>
    <w:rsid w:val="00333BE1"/>
    <w:rsid w:val="00333CD5"/>
    <w:rsid w:val="00334BF3"/>
    <w:rsid w:val="00334ECF"/>
    <w:rsid w:val="00335397"/>
    <w:rsid w:val="003362D8"/>
    <w:rsid w:val="003378F6"/>
    <w:rsid w:val="00340C03"/>
    <w:rsid w:val="0034266B"/>
    <w:rsid w:val="003426A6"/>
    <w:rsid w:val="00344D2E"/>
    <w:rsid w:val="00344E2B"/>
    <w:rsid w:val="00345561"/>
    <w:rsid w:val="00346343"/>
    <w:rsid w:val="0034648B"/>
    <w:rsid w:val="00346653"/>
    <w:rsid w:val="00346A51"/>
    <w:rsid w:val="00347094"/>
    <w:rsid w:val="003472E6"/>
    <w:rsid w:val="00351946"/>
    <w:rsid w:val="003520B6"/>
    <w:rsid w:val="003540B4"/>
    <w:rsid w:val="00354867"/>
    <w:rsid w:val="003549A6"/>
    <w:rsid w:val="00355836"/>
    <w:rsid w:val="00356487"/>
    <w:rsid w:val="003566D8"/>
    <w:rsid w:val="003631EF"/>
    <w:rsid w:val="003636B1"/>
    <w:rsid w:val="003655CE"/>
    <w:rsid w:val="003662D7"/>
    <w:rsid w:val="0036681C"/>
    <w:rsid w:val="003679EB"/>
    <w:rsid w:val="00370778"/>
    <w:rsid w:val="00372B47"/>
    <w:rsid w:val="00372CFA"/>
    <w:rsid w:val="00374114"/>
    <w:rsid w:val="003757AB"/>
    <w:rsid w:val="00375E55"/>
    <w:rsid w:val="00377011"/>
    <w:rsid w:val="00377660"/>
    <w:rsid w:val="00377C46"/>
    <w:rsid w:val="00381492"/>
    <w:rsid w:val="00381B7B"/>
    <w:rsid w:val="00381E0C"/>
    <w:rsid w:val="003828F5"/>
    <w:rsid w:val="00382957"/>
    <w:rsid w:val="00383BFE"/>
    <w:rsid w:val="00384BC4"/>
    <w:rsid w:val="00385859"/>
    <w:rsid w:val="00386881"/>
    <w:rsid w:val="00386DF4"/>
    <w:rsid w:val="00387788"/>
    <w:rsid w:val="00387816"/>
    <w:rsid w:val="00387A51"/>
    <w:rsid w:val="0039274D"/>
    <w:rsid w:val="00395933"/>
    <w:rsid w:val="00396248"/>
    <w:rsid w:val="00396A20"/>
    <w:rsid w:val="003A0864"/>
    <w:rsid w:val="003A19DE"/>
    <w:rsid w:val="003A270D"/>
    <w:rsid w:val="003A39DF"/>
    <w:rsid w:val="003A4FAC"/>
    <w:rsid w:val="003A641E"/>
    <w:rsid w:val="003A76FB"/>
    <w:rsid w:val="003B0817"/>
    <w:rsid w:val="003B152F"/>
    <w:rsid w:val="003B1989"/>
    <w:rsid w:val="003B3842"/>
    <w:rsid w:val="003C13B8"/>
    <w:rsid w:val="003C489C"/>
    <w:rsid w:val="003C5D5C"/>
    <w:rsid w:val="003C6C45"/>
    <w:rsid w:val="003C755B"/>
    <w:rsid w:val="003D0F5E"/>
    <w:rsid w:val="003D1A50"/>
    <w:rsid w:val="003D1B3C"/>
    <w:rsid w:val="003D3076"/>
    <w:rsid w:val="003D39A3"/>
    <w:rsid w:val="003D3DDA"/>
    <w:rsid w:val="003D3E94"/>
    <w:rsid w:val="003D488D"/>
    <w:rsid w:val="003D4DB9"/>
    <w:rsid w:val="003D5BCA"/>
    <w:rsid w:val="003D5FF5"/>
    <w:rsid w:val="003D6EC0"/>
    <w:rsid w:val="003D7764"/>
    <w:rsid w:val="003E0A70"/>
    <w:rsid w:val="003E0F8B"/>
    <w:rsid w:val="003E0FD1"/>
    <w:rsid w:val="003E200C"/>
    <w:rsid w:val="003E2CFA"/>
    <w:rsid w:val="003E5687"/>
    <w:rsid w:val="003E74A1"/>
    <w:rsid w:val="003F288E"/>
    <w:rsid w:val="003F385F"/>
    <w:rsid w:val="003F4800"/>
    <w:rsid w:val="003F50C1"/>
    <w:rsid w:val="003F68B6"/>
    <w:rsid w:val="003F6C20"/>
    <w:rsid w:val="003F6ECC"/>
    <w:rsid w:val="00400134"/>
    <w:rsid w:val="00401474"/>
    <w:rsid w:val="00401E3A"/>
    <w:rsid w:val="00403AC2"/>
    <w:rsid w:val="00404848"/>
    <w:rsid w:val="004053A7"/>
    <w:rsid w:val="00405637"/>
    <w:rsid w:val="00405D65"/>
    <w:rsid w:val="00410A3C"/>
    <w:rsid w:val="00411749"/>
    <w:rsid w:val="0041378C"/>
    <w:rsid w:val="00415815"/>
    <w:rsid w:val="004163F4"/>
    <w:rsid w:val="00416DD1"/>
    <w:rsid w:val="0042002B"/>
    <w:rsid w:val="0042070E"/>
    <w:rsid w:val="00420E34"/>
    <w:rsid w:val="00423049"/>
    <w:rsid w:val="00423334"/>
    <w:rsid w:val="00423362"/>
    <w:rsid w:val="00424A03"/>
    <w:rsid w:val="00424AD6"/>
    <w:rsid w:val="00425738"/>
    <w:rsid w:val="0042617B"/>
    <w:rsid w:val="004262F9"/>
    <w:rsid w:val="00426920"/>
    <w:rsid w:val="00427AAF"/>
    <w:rsid w:val="00430BA9"/>
    <w:rsid w:val="00430EAF"/>
    <w:rsid w:val="004320D5"/>
    <w:rsid w:val="004337A7"/>
    <w:rsid w:val="004338E9"/>
    <w:rsid w:val="00434DCD"/>
    <w:rsid w:val="004361A0"/>
    <w:rsid w:val="00436F1D"/>
    <w:rsid w:val="00436F7B"/>
    <w:rsid w:val="00437F05"/>
    <w:rsid w:val="00440D99"/>
    <w:rsid w:val="00441A60"/>
    <w:rsid w:val="00443371"/>
    <w:rsid w:val="00445130"/>
    <w:rsid w:val="004451C3"/>
    <w:rsid w:val="0044655F"/>
    <w:rsid w:val="00447DFC"/>
    <w:rsid w:val="004504FB"/>
    <w:rsid w:val="00451D8C"/>
    <w:rsid w:val="00451E61"/>
    <w:rsid w:val="004533E7"/>
    <w:rsid w:val="00453490"/>
    <w:rsid w:val="00453DE8"/>
    <w:rsid w:val="00455F83"/>
    <w:rsid w:val="00460A43"/>
    <w:rsid w:val="00461417"/>
    <w:rsid w:val="0046227E"/>
    <w:rsid w:val="00462777"/>
    <w:rsid w:val="004631A3"/>
    <w:rsid w:val="004634F1"/>
    <w:rsid w:val="00463FEC"/>
    <w:rsid w:val="00470E88"/>
    <w:rsid w:val="00471E03"/>
    <w:rsid w:val="004728F3"/>
    <w:rsid w:val="0047468B"/>
    <w:rsid w:val="00474B61"/>
    <w:rsid w:val="0047644F"/>
    <w:rsid w:val="00476E33"/>
    <w:rsid w:val="00476EB8"/>
    <w:rsid w:val="004816F7"/>
    <w:rsid w:val="00481C19"/>
    <w:rsid w:val="00483120"/>
    <w:rsid w:val="00483AC7"/>
    <w:rsid w:val="004862EF"/>
    <w:rsid w:val="004878AA"/>
    <w:rsid w:val="00487E98"/>
    <w:rsid w:val="004917FE"/>
    <w:rsid w:val="00491D22"/>
    <w:rsid w:val="00493E0D"/>
    <w:rsid w:val="004943DE"/>
    <w:rsid w:val="0049465C"/>
    <w:rsid w:val="004952CD"/>
    <w:rsid w:val="004955D8"/>
    <w:rsid w:val="00495B81"/>
    <w:rsid w:val="00496CFA"/>
    <w:rsid w:val="004975B3"/>
    <w:rsid w:val="004A01A3"/>
    <w:rsid w:val="004A03D2"/>
    <w:rsid w:val="004A164D"/>
    <w:rsid w:val="004A2628"/>
    <w:rsid w:val="004A3FC0"/>
    <w:rsid w:val="004A56AD"/>
    <w:rsid w:val="004B0C1A"/>
    <w:rsid w:val="004B1295"/>
    <w:rsid w:val="004B1CAD"/>
    <w:rsid w:val="004B2CB4"/>
    <w:rsid w:val="004B44E4"/>
    <w:rsid w:val="004B5059"/>
    <w:rsid w:val="004B543D"/>
    <w:rsid w:val="004B5643"/>
    <w:rsid w:val="004C02D7"/>
    <w:rsid w:val="004C3EF4"/>
    <w:rsid w:val="004D0311"/>
    <w:rsid w:val="004D09A4"/>
    <w:rsid w:val="004D4826"/>
    <w:rsid w:val="004E1C22"/>
    <w:rsid w:val="004E37B3"/>
    <w:rsid w:val="004E37CF"/>
    <w:rsid w:val="004E4B90"/>
    <w:rsid w:val="004E7D4E"/>
    <w:rsid w:val="004F009C"/>
    <w:rsid w:val="004F0EDD"/>
    <w:rsid w:val="004F15E0"/>
    <w:rsid w:val="004F4047"/>
    <w:rsid w:val="004F5E27"/>
    <w:rsid w:val="004F5F6F"/>
    <w:rsid w:val="004F606E"/>
    <w:rsid w:val="004F6C7F"/>
    <w:rsid w:val="004F7C90"/>
    <w:rsid w:val="004F7E8F"/>
    <w:rsid w:val="005003DF"/>
    <w:rsid w:val="005007CF"/>
    <w:rsid w:val="00500AB4"/>
    <w:rsid w:val="00504B17"/>
    <w:rsid w:val="005055BB"/>
    <w:rsid w:val="00506014"/>
    <w:rsid w:val="0050739A"/>
    <w:rsid w:val="00507DF3"/>
    <w:rsid w:val="00510667"/>
    <w:rsid w:val="005117F3"/>
    <w:rsid w:val="00511D71"/>
    <w:rsid w:val="00512090"/>
    <w:rsid w:val="00513FCB"/>
    <w:rsid w:val="0051444C"/>
    <w:rsid w:val="00514685"/>
    <w:rsid w:val="005147AB"/>
    <w:rsid w:val="00514C78"/>
    <w:rsid w:val="00515E34"/>
    <w:rsid w:val="00515EF9"/>
    <w:rsid w:val="005220D8"/>
    <w:rsid w:val="00522587"/>
    <w:rsid w:val="0052269D"/>
    <w:rsid w:val="00523248"/>
    <w:rsid w:val="00523AF9"/>
    <w:rsid w:val="005245A6"/>
    <w:rsid w:val="00524DCE"/>
    <w:rsid w:val="00524E22"/>
    <w:rsid w:val="00526CA9"/>
    <w:rsid w:val="00527C3D"/>
    <w:rsid w:val="00530C2B"/>
    <w:rsid w:val="00531FC5"/>
    <w:rsid w:val="00533AF2"/>
    <w:rsid w:val="00535473"/>
    <w:rsid w:val="005354CF"/>
    <w:rsid w:val="005355B4"/>
    <w:rsid w:val="00535E54"/>
    <w:rsid w:val="00536B0A"/>
    <w:rsid w:val="00540A98"/>
    <w:rsid w:val="00541F19"/>
    <w:rsid w:val="00543124"/>
    <w:rsid w:val="005452DD"/>
    <w:rsid w:val="005504DD"/>
    <w:rsid w:val="0055135A"/>
    <w:rsid w:val="00551B1C"/>
    <w:rsid w:val="00551DDD"/>
    <w:rsid w:val="0055300B"/>
    <w:rsid w:val="00554866"/>
    <w:rsid w:val="0055571D"/>
    <w:rsid w:val="00556546"/>
    <w:rsid w:val="005572A6"/>
    <w:rsid w:val="0056076D"/>
    <w:rsid w:val="0056083E"/>
    <w:rsid w:val="00561115"/>
    <w:rsid w:val="005614C2"/>
    <w:rsid w:val="00561EED"/>
    <w:rsid w:val="0056299D"/>
    <w:rsid w:val="00564325"/>
    <w:rsid w:val="00565E09"/>
    <w:rsid w:val="00566020"/>
    <w:rsid w:val="0057144E"/>
    <w:rsid w:val="005723AB"/>
    <w:rsid w:val="00573B8F"/>
    <w:rsid w:val="00576BBA"/>
    <w:rsid w:val="00577135"/>
    <w:rsid w:val="00577A6D"/>
    <w:rsid w:val="005806DE"/>
    <w:rsid w:val="00581523"/>
    <w:rsid w:val="005815DE"/>
    <w:rsid w:val="00581851"/>
    <w:rsid w:val="00581956"/>
    <w:rsid w:val="005841CD"/>
    <w:rsid w:val="005873C4"/>
    <w:rsid w:val="00590B27"/>
    <w:rsid w:val="00592D41"/>
    <w:rsid w:val="00593BBF"/>
    <w:rsid w:val="005945A5"/>
    <w:rsid w:val="00594A5B"/>
    <w:rsid w:val="0059584F"/>
    <w:rsid w:val="005A1729"/>
    <w:rsid w:val="005A1778"/>
    <w:rsid w:val="005A1A5B"/>
    <w:rsid w:val="005A32C6"/>
    <w:rsid w:val="005A356A"/>
    <w:rsid w:val="005A4EE2"/>
    <w:rsid w:val="005A4F04"/>
    <w:rsid w:val="005B025B"/>
    <w:rsid w:val="005B094A"/>
    <w:rsid w:val="005B0F4E"/>
    <w:rsid w:val="005B166D"/>
    <w:rsid w:val="005B38EA"/>
    <w:rsid w:val="005B5EFF"/>
    <w:rsid w:val="005B68AC"/>
    <w:rsid w:val="005B7119"/>
    <w:rsid w:val="005B75D6"/>
    <w:rsid w:val="005B7806"/>
    <w:rsid w:val="005B7E83"/>
    <w:rsid w:val="005C0E13"/>
    <w:rsid w:val="005C0EE8"/>
    <w:rsid w:val="005C138A"/>
    <w:rsid w:val="005C27A7"/>
    <w:rsid w:val="005C2A9B"/>
    <w:rsid w:val="005C66C3"/>
    <w:rsid w:val="005C7C1D"/>
    <w:rsid w:val="005C7FF8"/>
    <w:rsid w:val="005D19B2"/>
    <w:rsid w:val="005D1EB5"/>
    <w:rsid w:val="005D227D"/>
    <w:rsid w:val="005D348E"/>
    <w:rsid w:val="005D6AD6"/>
    <w:rsid w:val="005D6E3F"/>
    <w:rsid w:val="005E0D34"/>
    <w:rsid w:val="005E122F"/>
    <w:rsid w:val="005E24A1"/>
    <w:rsid w:val="005E2A12"/>
    <w:rsid w:val="005E3208"/>
    <w:rsid w:val="005E352C"/>
    <w:rsid w:val="005E39C0"/>
    <w:rsid w:val="005E3DDD"/>
    <w:rsid w:val="005E44B4"/>
    <w:rsid w:val="005E47D9"/>
    <w:rsid w:val="005E64F6"/>
    <w:rsid w:val="005E65EB"/>
    <w:rsid w:val="005E721F"/>
    <w:rsid w:val="005E7AB8"/>
    <w:rsid w:val="005F0411"/>
    <w:rsid w:val="005F1855"/>
    <w:rsid w:val="005F3D92"/>
    <w:rsid w:val="005F6857"/>
    <w:rsid w:val="005F6E61"/>
    <w:rsid w:val="005F7108"/>
    <w:rsid w:val="005F7120"/>
    <w:rsid w:val="005F7A2B"/>
    <w:rsid w:val="005F7EE2"/>
    <w:rsid w:val="00600063"/>
    <w:rsid w:val="00600A7A"/>
    <w:rsid w:val="00600B80"/>
    <w:rsid w:val="006019C2"/>
    <w:rsid w:val="006029EF"/>
    <w:rsid w:val="006105BA"/>
    <w:rsid w:val="00614CDD"/>
    <w:rsid w:val="0061560A"/>
    <w:rsid w:val="00616AC8"/>
    <w:rsid w:val="00620126"/>
    <w:rsid w:val="006217FB"/>
    <w:rsid w:val="00621D10"/>
    <w:rsid w:val="0062270F"/>
    <w:rsid w:val="00623C17"/>
    <w:rsid w:val="00624A5A"/>
    <w:rsid w:val="00626B8E"/>
    <w:rsid w:val="00630327"/>
    <w:rsid w:val="0063060F"/>
    <w:rsid w:val="00630BD0"/>
    <w:rsid w:val="00632D5C"/>
    <w:rsid w:val="006356B1"/>
    <w:rsid w:val="0063570C"/>
    <w:rsid w:val="006400BE"/>
    <w:rsid w:val="006409E1"/>
    <w:rsid w:val="00640D78"/>
    <w:rsid w:val="00641740"/>
    <w:rsid w:val="00641F77"/>
    <w:rsid w:val="00642432"/>
    <w:rsid w:val="00643508"/>
    <w:rsid w:val="006450F8"/>
    <w:rsid w:val="0064525C"/>
    <w:rsid w:val="00645A95"/>
    <w:rsid w:val="00646143"/>
    <w:rsid w:val="00646178"/>
    <w:rsid w:val="006470E4"/>
    <w:rsid w:val="0064736C"/>
    <w:rsid w:val="00647BAF"/>
    <w:rsid w:val="00647D5B"/>
    <w:rsid w:val="006502C7"/>
    <w:rsid w:val="00650CF6"/>
    <w:rsid w:val="00650DCC"/>
    <w:rsid w:val="006513F3"/>
    <w:rsid w:val="006523DE"/>
    <w:rsid w:val="00652A73"/>
    <w:rsid w:val="006536D8"/>
    <w:rsid w:val="00653D2C"/>
    <w:rsid w:val="0065591A"/>
    <w:rsid w:val="00656AFA"/>
    <w:rsid w:val="0065784C"/>
    <w:rsid w:val="00660087"/>
    <w:rsid w:val="0066060F"/>
    <w:rsid w:val="00661262"/>
    <w:rsid w:val="0066156D"/>
    <w:rsid w:val="00661856"/>
    <w:rsid w:val="006618B3"/>
    <w:rsid w:val="00662113"/>
    <w:rsid w:val="00663F1A"/>
    <w:rsid w:val="0066416F"/>
    <w:rsid w:val="006641CF"/>
    <w:rsid w:val="00664680"/>
    <w:rsid w:val="00664A81"/>
    <w:rsid w:val="00664E7B"/>
    <w:rsid w:val="00665FAD"/>
    <w:rsid w:val="00666CF1"/>
    <w:rsid w:val="006700C8"/>
    <w:rsid w:val="006706C8"/>
    <w:rsid w:val="00670DF5"/>
    <w:rsid w:val="00670F04"/>
    <w:rsid w:val="006712B1"/>
    <w:rsid w:val="006714BA"/>
    <w:rsid w:val="00671EB0"/>
    <w:rsid w:val="00672012"/>
    <w:rsid w:val="006725F5"/>
    <w:rsid w:val="006728E1"/>
    <w:rsid w:val="00672BDD"/>
    <w:rsid w:val="006749F9"/>
    <w:rsid w:val="00675629"/>
    <w:rsid w:val="00676020"/>
    <w:rsid w:val="00676F1E"/>
    <w:rsid w:val="00677E8D"/>
    <w:rsid w:val="00680D6D"/>
    <w:rsid w:val="00681019"/>
    <w:rsid w:val="00681D9C"/>
    <w:rsid w:val="00682424"/>
    <w:rsid w:val="00682804"/>
    <w:rsid w:val="00683E1B"/>
    <w:rsid w:val="00684FE9"/>
    <w:rsid w:val="006850E0"/>
    <w:rsid w:val="00690471"/>
    <w:rsid w:val="00691818"/>
    <w:rsid w:val="00691935"/>
    <w:rsid w:val="006920AC"/>
    <w:rsid w:val="0069271F"/>
    <w:rsid w:val="00692861"/>
    <w:rsid w:val="006929CE"/>
    <w:rsid w:val="006930C5"/>
    <w:rsid w:val="006938D1"/>
    <w:rsid w:val="00694070"/>
    <w:rsid w:val="00696490"/>
    <w:rsid w:val="006A3A46"/>
    <w:rsid w:val="006A5584"/>
    <w:rsid w:val="006A6F3A"/>
    <w:rsid w:val="006A714B"/>
    <w:rsid w:val="006A7303"/>
    <w:rsid w:val="006B00EE"/>
    <w:rsid w:val="006B073C"/>
    <w:rsid w:val="006B084C"/>
    <w:rsid w:val="006B1805"/>
    <w:rsid w:val="006B2785"/>
    <w:rsid w:val="006B2E6F"/>
    <w:rsid w:val="006B2F87"/>
    <w:rsid w:val="006B435B"/>
    <w:rsid w:val="006B7044"/>
    <w:rsid w:val="006B756E"/>
    <w:rsid w:val="006B77A7"/>
    <w:rsid w:val="006B77DC"/>
    <w:rsid w:val="006B7F66"/>
    <w:rsid w:val="006C0491"/>
    <w:rsid w:val="006C2292"/>
    <w:rsid w:val="006C2406"/>
    <w:rsid w:val="006C279D"/>
    <w:rsid w:val="006C56F5"/>
    <w:rsid w:val="006C7737"/>
    <w:rsid w:val="006C7906"/>
    <w:rsid w:val="006D019F"/>
    <w:rsid w:val="006D091E"/>
    <w:rsid w:val="006D17FB"/>
    <w:rsid w:val="006D2017"/>
    <w:rsid w:val="006D2B19"/>
    <w:rsid w:val="006D4697"/>
    <w:rsid w:val="006D5269"/>
    <w:rsid w:val="006E002B"/>
    <w:rsid w:val="006E00EA"/>
    <w:rsid w:val="006E047D"/>
    <w:rsid w:val="006E1AE8"/>
    <w:rsid w:val="006E1F93"/>
    <w:rsid w:val="006E28E0"/>
    <w:rsid w:val="006E2A28"/>
    <w:rsid w:val="006E4A2C"/>
    <w:rsid w:val="006E5A35"/>
    <w:rsid w:val="006E5B6F"/>
    <w:rsid w:val="006E5BFB"/>
    <w:rsid w:val="006E5EB4"/>
    <w:rsid w:val="006E60A5"/>
    <w:rsid w:val="006E642D"/>
    <w:rsid w:val="006E66A4"/>
    <w:rsid w:val="006E6C65"/>
    <w:rsid w:val="006E7989"/>
    <w:rsid w:val="006F0873"/>
    <w:rsid w:val="006F08A9"/>
    <w:rsid w:val="006F13B1"/>
    <w:rsid w:val="006F72E5"/>
    <w:rsid w:val="00702068"/>
    <w:rsid w:val="00702166"/>
    <w:rsid w:val="0070537A"/>
    <w:rsid w:val="00705C29"/>
    <w:rsid w:val="00711579"/>
    <w:rsid w:val="00712702"/>
    <w:rsid w:val="00713C2E"/>
    <w:rsid w:val="00714E94"/>
    <w:rsid w:val="00715FAF"/>
    <w:rsid w:val="00721323"/>
    <w:rsid w:val="007219D6"/>
    <w:rsid w:val="00721EEA"/>
    <w:rsid w:val="00723800"/>
    <w:rsid w:val="00723F5F"/>
    <w:rsid w:val="007243F5"/>
    <w:rsid w:val="00726781"/>
    <w:rsid w:val="00726E93"/>
    <w:rsid w:val="00727A98"/>
    <w:rsid w:val="007310D3"/>
    <w:rsid w:val="00732B82"/>
    <w:rsid w:val="00733031"/>
    <w:rsid w:val="00734D1D"/>
    <w:rsid w:val="00736110"/>
    <w:rsid w:val="0073724E"/>
    <w:rsid w:val="0073773D"/>
    <w:rsid w:val="0074051D"/>
    <w:rsid w:val="007407B3"/>
    <w:rsid w:val="0074154E"/>
    <w:rsid w:val="00743BE6"/>
    <w:rsid w:val="00743DF7"/>
    <w:rsid w:val="00743F9E"/>
    <w:rsid w:val="00745C95"/>
    <w:rsid w:val="00746C58"/>
    <w:rsid w:val="007475B9"/>
    <w:rsid w:val="00750968"/>
    <w:rsid w:val="00750FF4"/>
    <w:rsid w:val="0075361C"/>
    <w:rsid w:val="00754FE5"/>
    <w:rsid w:val="00756DF1"/>
    <w:rsid w:val="00757006"/>
    <w:rsid w:val="007570CA"/>
    <w:rsid w:val="007572E5"/>
    <w:rsid w:val="00760805"/>
    <w:rsid w:val="00760DFD"/>
    <w:rsid w:val="0076134E"/>
    <w:rsid w:val="00761D7A"/>
    <w:rsid w:val="00762156"/>
    <w:rsid w:val="00762DEB"/>
    <w:rsid w:val="00763510"/>
    <w:rsid w:val="007655B6"/>
    <w:rsid w:val="0076565B"/>
    <w:rsid w:val="00765C8D"/>
    <w:rsid w:val="00767DA5"/>
    <w:rsid w:val="00770DCA"/>
    <w:rsid w:val="00772299"/>
    <w:rsid w:val="00772B58"/>
    <w:rsid w:val="00772C76"/>
    <w:rsid w:val="007738E8"/>
    <w:rsid w:val="00774176"/>
    <w:rsid w:val="0077434F"/>
    <w:rsid w:val="00775EC2"/>
    <w:rsid w:val="0077633D"/>
    <w:rsid w:val="00776C74"/>
    <w:rsid w:val="00776E74"/>
    <w:rsid w:val="0077748E"/>
    <w:rsid w:val="007774ED"/>
    <w:rsid w:val="00780B75"/>
    <w:rsid w:val="00780FD1"/>
    <w:rsid w:val="0078169A"/>
    <w:rsid w:val="00781AF4"/>
    <w:rsid w:val="00782235"/>
    <w:rsid w:val="0078264C"/>
    <w:rsid w:val="00782CAD"/>
    <w:rsid w:val="00783054"/>
    <w:rsid w:val="00783767"/>
    <w:rsid w:val="00785114"/>
    <w:rsid w:val="0078569E"/>
    <w:rsid w:val="00786AA8"/>
    <w:rsid w:val="007904CA"/>
    <w:rsid w:val="007907BF"/>
    <w:rsid w:val="00790A7D"/>
    <w:rsid w:val="0079246E"/>
    <w:rsid w:val="00793A91"/>
    <w:rsid w:val="00794197"/>
    <w:rsid w:val="00794F5D"/>
    <w:rsid w:val="00794F6A"/>
    <w:rsid w:val="00795213"/>
    <w:rsid w:val="007961B5"/>
    <w:rsid w:val="00796E23"/>
    <w:rsid w:val="00797FDE"/>
    <w:rsid w:val="007A0367"/>
    <w:rsid w:val="007A07DD"/>
    <w:rsid w:val="007A1862"/>
    <w:rsid w:val="007A2014"/>
    <w:rsid w:val="007A2A97"/>
    <w:rsid w:val="007A4286"/>
    <w:rsid w:val="007A5F6B"/>
    <w:rsid w:val="007A7B57"/>
    <w:rsid w:val="007B1BCB"/>
    <w:rsid w:val="007B2EB5"/>
    <w:rsid w:val="007B30A5"/>
    <w:rsid w:val="007B388B"/>
    <w:rsid w:val="007B38D9"/>
    <w:rsid w:val="007B58BD"/>
    <w:rsid w:val="007B5A19"/>
    <w:rsid w:val="007B7847"/>
    <w:rsid w:val="007B7B20"/>
    <w:rsid w:val="007C00D4"/>
    <w:rsid w:val="007C05BF"/>
    <w:rsid w:val="007C0EF3"/>
    <w:rsid w:val="007C5911"/>
    <w:rsid w:val="007C66D4"/>
    <w:rsid w:val="007C7B32"/>
    <w:rsid w:val="007D26A7"/>
    <w:rsid w:val="007D322D"/>
    <w:rsid w:val="007D4834"/>
    <w:rsid w:val="007D4D5A"/>
    <w:rsid w:val="007D65AC"/>
    <w:rsid w:val="007D6C7A"/>
    <w:rsid w:val="007E0632"/>
    <w:rsid w:val="007E08E6"/>
    <w:rsid w:val="007E1AAD"/>
    <w:rsid w:val="007E2209"/>
    <w:rsid w:val="007E3792"/>
    <w:rsid w:val="007E3E72"/>
    <w:rsid w:val="007E466F"/>
    <w:rsid w:val="007E5337"/>
    <w:rsid w:val="007E5751"/>
    <w:rsid w:val="007E613D"/>
    <w:rsid w:val="007E6D18"/>
    <w:rsid w:val="007E6FB8"/>
    <w:rsid w:val="007E79B9"/>
    <w:rsid w:val="007F02A2"/>
    <w:rsid w:val="007F0D4E"/>
    <w:rsid w:val="007F1448"/>
    <w:rsid w:val="007F1759"/>
    <w:rsid w:val="007F2828"/>
    <w:rsid w:val="007F41FB"/>
    <w:rsid w:val="007F4CDB"/>
    <w:rsid w:val="007F53DC"/>
    <w:rsid w:val="00800185"/>
    <w:rsid w:val="00801364"/>
    <w:rsid w:val="00802118"/>
    <w:rsid w:val="00803672"/>
    <w:rsid w:val="00803E48"/>
    <w:rsid w:val="00806AC5"/>
    <w:rsid w:val="00810359"/>
    <w:rsid w:val="0081051A"/>
    <w:rsid w:val="00810887"/>
    <w:rsid w:val="008109C8"/>
    <w:rsid w:val="008129EE"/>
    <w:rsid w:val="00813037"/>
    <w:rsid w:val="0081307A"/>
    <w:rsid w:val="0081661C"/>
    <w:rsid w:val="0081788A"/>
    <w:rsid w:val="00817B77"/>
    <w:rsid w:val="008200C2"/>
    <w:rsid w:val="008201F5"/>
    <w:rsid w:val="00833FB2"/>
    <w:rsid w:val="008346EB"/>
    <w:rsid w:val="00834F1F"/>
    <w:rsid w:val="00835FE0"/>
    <w:rsid w:val="008406CB"/>
    <w:rsid w:val="008410C7"/>
    <w:rsid w:val="00844B1B"/>
    <w:rsid w:val="00845943"/>
    <w:rsid w:val="0084630E"/>
    <w:rsid w:val="008472A9"/>
    <w:rsid w:val="008476CC"/>
    <w:rsid w:val="00855556"/>
    <w:rsid w:val="00857C21"/>
    <w:rsid w:val="0086001E"/>
    <w:rsid w:val="00860114"/>
    <w:rsid w:val="0086284B"/>
    <w:rsid w:val="008640F9"/>
    <w:rsid w:val="00865F4A"/>
    <w:rsid w:val="00865FE6"/>
    <w:rsid w:val="008667B0"/>
    <w:rsid w:val="00866B85"/>
    <w:rsid w:val="0087141F"/>
    <w:rsid w:val="00871C13"/>
    <w:rsid w:val="00875480"/>
    <w:rsid w:val="00875BB8"/>
    <w:rsid w:val="00876406"/>
    <w:rsid w:val="00876571"/>
    <w:rsid w:val="00876906"/>
    <w:rsid w:val="00880732"/>
    <w:rsid w:val="00880E90"/>
    <w:rsid w:val="0088208E"/>
    <w:rsid w:val="008820FE"/>
    <w:rsid w:val="008844F8"/>
    <w:rsid w:val="00885AEA"/>
    <w:rsid w:val="00885C17"/>
    <w:rsid w:val="00886FE7"/>
    <w:rsid w:val="00887AEE"/>
    <w:rsid w:val="00890A6A"/>
    <w:rsid w:val="00891413"/>
    <w:rsid w:val="008917BA"/>
    <w:rsid w:val="008929F8"/>
    <w:rsid w:val="00892AC6"/>
    <w:rsid w:val="00892C94"/>
    <w:rsid w:val="00893793"/>
    <w:rsid w:val="00893F68"/>
    <w:rsid w:val="008964A8"/>
    <w:rsid w:val="008A34F7"/>
    <w:rsid w:val="008A5440"/>
    <w:rsid w:val="008A58AC"/>
    <w:rsid w:val="008A5E70"/>
    <w:rsid w:val="008A5E77"/>
    <w:rsid w:val="008A703C"/>
    <w:rsid w:val="008A7412"/>
    <w:rsid w:val="008B043B"/>
    <w:rsid w:val="008B2D4C"/>
    <w:rsid w:val="008B5510"/>
    <w:rsid w:val="008B5AC6"/>
    <w:rsid w:val="008B7B15"/>
    <w:rsid w:val="008C210F"/>
    <w:rsid w:val="008C2F70"/>
    <w:rsid w:val="008C342B"/>
    <w:rsid w:val="008C3656"/>
    <w:rsid w:val="008C39B8"/>
    <w:rsid w:val="008C409F"/>
    <w:rsid w:val="008C5C3A"/>
    <w:rsid w:val="008C6E95"/>
    <w:rsid w:val="008D06A3"/>
    <w:rsid w:val="008D0EAA"/>
    <w:rsid w:val="008D108A"/>
    <w:rsid w:val="008D3000"/>
    <w:rsid w:val="008D3090"/>
    <w:rsid w:val="008D3369"/>
    <w:rsid w:val="008D4336"/>
    <w:rsid w:val="008D4420"/>
    <w:rsid w:val="008D5C93"/>
    <w:rsid w:val="008D6321"/>
    <w:rsid w:val="008D6638"/>
    <w:rsid w:val="008D671A"/>
    <w:rsid w:val="008D696B"/>
    <w:rsid w:val="008D69D7"/>
    <w:rsid w:val="008D7358"/>
    <w:rsid w:val="008E06D5"/>
    <w:rsid w:val="008E0A92"/>
    <w:rsid w:val="008E0E77"/>
    <w:rsid w:val="008E146A"/>
    <w:rsid w:val="008E24B3"/>
    <w:rsid w:val="008E284D"/>
    <w:rsid w:val="008E4191"/>
    <w:rsid w:val="008E4AFF"/>
    <w:rsid w:val="008E78FB"/>
    <w:rsid w:val="008F146F"/>
    <w:rsid w:val="008F19E1"/>
    <w:rsid w:val="008F23D1"/>
    <w:rsid w:val="008F26C2"/>
    <w:rsid w:val="008F274C"/>
    <w:rsid w:val="008F3D2F"/>
    <w:rsid w:val="008F4573"/>
    <w:rsid w:val="008F4A1E"/>
    <w:rsid w:val="008F5100"/>
    <w:rsid w:val="008F5AC9"/>
    <w:rsid w:val="008F79F6"/>
    <w:rsid w:val="00900B09"/>
    <w:rsid w:val="00901AEA"/>
    <w:rsid w:val="00901EA7"/>
    <w:rsid w:val="00902827"/>
    <w:rsid w:val="009045C3"/>
    <w:rsid w:val="009053F2"/>
    <w:rsid w:val="0090544D"/>
    <w:rsid w:val="0091027D"/>
    <w:rsid w:val="00911051"/>
    <w:rsid w:val="0091227F"/>
    <w:rsid w:val="00913D20"/>
    <w:rsid w:val="00913E88"/>
    <w:rsid w:val="009144B1"/>
    <w:rsid w:val="00914556"/>
    <w:rsid w:val="00914B17"/>
    <w:rsid w:val="0091543A"/>
    <w:rsid w:val="00915F29"/>
    <w:rsid w:val="00917446"/>
    <w:rsid w:val="0092066C"/>
    <w:rsid w:val="009217E0"/>
    <w:rsid w:val="009226F1"/>
    <w:rsid w:val="009229AA"/>
    <w:rsid w:val="00923E95"/>
    <w:rsid w:val="00924367"/>
    <w:rsid w:val="009245AD"/>
    <w:rsid w:val="0092678D"/>
    <w:rsid w:val="00926CAE"/>
    <w:rsid w:val="00927930"/>
    <w:rsid w:val="00930DC8"/>
    <w:rsid w:val="00931297"/>
    <w:rsid w:val="009312E7"/>
    <w:rsid w:val="0093222D"/>
    <w:rsid w:val="009323D5"/>
    <w:rsid w:val="009362E4"/>
    <w:rsid w:val="00937E4C"/>
    <w:rsid w:val="009416CA"/>
    <w:rsid w:val="00941757"/>
    <w:rsid w:val="009435BA"/>
    <w:rsid w:val="0094393F"/>
    <w:rsid w:val="009441C8"/>
    <w:rsid w:val="0094474A"/>
    <w:rsid w:val="00944E29"/>
    <w:rsid w:val="00946A22"/>
    <w:rsid w:val="00946E04"/>
    <w:rsid w:val="00950455"/>
    <w:rsid w:val="00950F80"/>
    <w:rsid w:val="00953EF7"/>
    <w:rsid w:val="009547FD"/>
    <w:rsid w:val="009568C2"/>
    <w:rsid w:val="00957691"/>
    <w:rsid w:val="0096148A"/>
    <w:rsid w:val="0096218B"/>
    <w:rsid w:val="0096325C"/>
    <w:rsid w:val="0096397C"/>
    <w:rsid w:val="00964136"/>
    <w:rsid w:val="009670BD"/>
    <w:rsid w:val="00971782"/>
    <w:rsid w:val="00973040"/>
    <w:rsid w:val="00973968"/>
    <w:rsid w:val="009740A0"/>
    <w:rsid w:val="00975540"/>
    <w:rsid w:val="00976419"/>
    <w:rsid w:val="009769B7"/>
    <w:rsid w:val="00981518"/>
    <w:rsid w:val="00981853"/>
    <w:rsid w:val="00981E5A"/>
    <w:rsid w:val="00982F5A"/>
    <w:rsid w:val="00984656"/>
    <w:rsid w:val="00984765"/>
    <w:rsid w:val="009849F2"/>
    <w:rsid w:val="00984ED0"/>
    <w:rsid w:val="00986B00"/>
    <w:rsid w:val="00992427"/>
    <w:rsid w:val="00993A41"/>
    <w:rsid w:val="0099402E"/>
    <w:rsid w:val="00994084"/>
    <w:rsid w:val="00994976"/>
    <w:rsid w:val="00994E61"/>
    <w:rsid w:val="0099699C"/>
    <w:rsid w:val="009A09C2"/>
    <w:rsid w:val="009A1210"/>
    <w:rsid w:val="009A2867"/>
    <w:rsid w:val="009A5571"/>
    <w:rsid w:val="009A63DD"/>
    <w:rsid w:val="009A70D1"/>
    <w:rsid w:val="009B25C7"/>
    <w:rsid w:val="009B27A4"/>
    <w:rsid w:val="009B4EDA"/>
    <w:rsid w:val="009B548B"/>
    <w:rsid w:val="009B5C64"/>
    <w:rsid w:val="009B5D01"/>
    <w:rsid w:val="009C067A"/>
    <w:rsid w:val="009C238A"/>
    <w:rsid w:val="009C42A4"/>
    <w:rsid w:val="009C581F"/>
    <w:rsid w:val="009D1B96"/>
    <w:rsid w:val="009D2D4A"/>
    <w:rsid w:val="009D3794"/>
    <w:rsid w:val="009D3EA6"/>
    <w:rsid w:val="009D440D"/>
    <w:rsid w:val="009D44A6"/>
    <w:rsid w:val="009D5E88"/>
    <w:rsid w:val="009D6BC9"/>
    <w:rsid w:val="009D7FB0"/>
    <w:rsid w:val="009E0921"/>
    <w:rsid w:val="009E193A"/>
    <w:rsid w:val="009E3BC4"/>
    <w:rsid w:val="009E546F"/>
    <w:rsid w:val="009E642E"/>
    <w:rsid w:val="009E74B0"/>
    <w:rsid w:val="009E7677"/>
    <w:rsid w:val="009E77C5"/>
    <w:rsid w:val="009F0620"/>
    <w:rsid w:val="009F0854"/>
    <w:rsid w:val="009F0A28"/>
    <w:rsid w:val="009F0BCF"/>
    <w:rsid w:val="009F1847"/>
    <w:rsid w:val="009F21E2"/>
    <w:rsid w:val="009F3A0F"/>
    <w:rsid w:val="009F3F29"/>
    <w:rsid w:val="009F3FD0"/>
    <w:rsid w:val="009F4ABC"/>
    <w:rsid w:val="009F4EA1"/>
    <w:rsid w:val="009F54D0"/>
    <w:rsid w:val="009F6336"/>
    <w:rsid w:val="00A003E5"/>
    <w:rsid w:val="00A005AF"/>
    <w:rsid w:val="00A00C53"/>
    <w:rsid w:val="00A012B1"/>
    <w:rsid w:val="00A0227D"/>
    <w:rsid w:val="00A02513"/>
    <w:rsid w:val="00A029AA"/>
    <w:rsid w:val="00A03639"/>
    <w:rsid w:val="00A0568D"/>
    <w:rsid w:val="00A058E4"/>
    <w:rsid w:val="00A05C16"/>
    <w:rsid w:val="00A06DDC"/>
    <w:rsid w:val="00A118C3"/>
    <w:rsid w:val="00A11D8A"/>
    <w:rsid w:val="00A1205D"/>
    <w:rsid w:val="00A121D7"/>
    <w:rsid w:val="00A12413"/>
    <w:rsid w:val="00A137C2"/>
    <w:rsid w:val="00A16141"/>
    <w:rsid w:val="00A17CB7"/>
    <w:rsid w:val="00A212CA"/>
    <w:rsid w:val="00A2153A"/>
    <w:rsid w:val="00A22CBB"/>
    <w:rsid w:val="00A23505"/>
    <w:rsid w:val="00A238A1"/>
    <w:rsid w:val="00A23ADD"/>
    <w:rsid w:val="00A24614"/>
    <w:rsid w:val="00A24AE8"/>
    <w:rsid w:val="00A25504"/>
    <w:rsid w:val="00A255ED"/>
    <w:rsid w:val="00A2588A"/>
    <w:rsid w:val="00A25D1C"/>
    <w:rsid w:val="00A26840"/>
    <w:rsid w:val="00A30371"/>
    <w:rsid w:val="00A306FA"/>
    <w:rsid w:val="00A30A87"/>
    <w:rsid w:val="00A3142D"/>
    <w:rsid w:val="00A31865"/>
    <w:rsid w:val="00A31F49"/>
    <w:rsid w:val="00A3301F"/>
    <w:rsid w:val="00A3371F"/>
    <w:rsid w:val="00A344F8"/>
    <w:rsid w:val="00A34B71"/>
    <w:rsid w:val="00A36AED"/>
    <w:rsid w:val="00A36DA0"/>
    <w:rsid w:val="00A40664"/>
    <w:rsid w:val="00A42F93"/>
    <w:rsid w:val="00A454BD"/>
    <w:rsid w:val="00A45D0E"/>
    <w:rsid w:val="00A46F71"/>
    <w:rsid w:val="00A4783D"/>
    <w:rsid w:val="00A47E55"/>
    <w:rsid w:val="00A517B9"/>
    <w:rsid w:val="00A51E7E"/>
    <w:rsid w:val="00A535EB"/>
    <w:rsid w:val="00A54A98"/>
    <w:rsid w:val="00A54C81"/>
    <w:rsid w:val="00A54EEE"/>
    <w:rsid w:val="00A55530"/>
    <w:rsid w:val="00A56750"/>
    <w:rsid w:val="00A57D4F"/>
    <w:rsid w:val="00A60396"/>
    <w:rsid w:val="00A603DD"/>
    <w:rsid w:val="00A619F2"/>
    <w:rsid w:val="00A62838"/>
    <w:rsid w:val="00A6298E"/>
    <w:rsid w:val="00A62C7E"/>
    <w:rsid w:val="00A62DF6"/>
    <w:rsid w:val="00A636A8"/>
    <w:rsid w:val="00A63812"/>
    <w:rsid w:val="00A64518"/>
    <w:rsid w:val="00A64AD7"/>
    <w:rsid w:val="00A64D43"/>
    <w:rsid w:val="00A65D02"/>
    <w:rsid w:val="00A65FEC"/>
    <w:rsid w:val="00A66473"/>
    <w:rsid w:val="00A66EEC"/>
    <w:rsid w:val="00A679F2"/>
    <w:rsid w:val="00A70559"/>
    <w:rsid w:val="00A70C07"/>
    <w:rsid w:val="00A71C36"/>
    <w:rsid w:val="00A73163"/>
    <w:rsid w:val="00A7404F"/>
    <w:rsid w:val="00A743A4"/>
    <w:rsid w:val="00A763F9"/>
    <w:rsid w:val="00A768DA"/>
    <w:rsid w:val="00A81DCB"/>
    <w:rsid w:val="00A828A5"/>
    <w:rsid w:val="00A8479C"/>
    <w:rsid w:val="00A84858"/>
    <w:rsid w:val="00A85A20"/>
    <w:rsid w:val="00A8641B"/>
    <w:rsid w:val="00A869A7"/>
    <w:rsid w:val="00A872F1"/>
    <w:rsid w:val="00A87EBC"/>
    <w:rsid w:val="00A91C0F"/>
    <w:rsid w:val="00A92566"/>
    <w:rsid w:val="00A930B9"/>
    <w:rsid w:val="00A9373A"/>
    <w:rsid w:val="00A95C0D"/>
    <w:rsid w:val="00A96A2D"/>
    <w:rsid w:val="00A97AEF"/>
    <w:rsid w:val="00AA1426"/>
    <w:rsid w:val="00AA1A55"/>
    <w:rsid w:val="00AA3CCE"/>
    <w:rsid w:val="00AA5A1C"/>
    <w:rsid w:val="00AA69C4"/>
    <w:rsid w:val="00AA6A6D"/>
    <w:rsid w:val="00AA7697"/>
    <w:rsid w:val="00AB186F"/>
    <w:rsid w:val="00AB1CA4"/>
    <w:rsid w:val="00AB4116"/>
    <w:rsid w:val="00AB478C"/>
    <w:rsid w:val="00AB5671"/>
    <w:rsid w:val="00AB5A68"/>
    <w:rsid w:val="00AB5AEE"/>
    <w:rsid w:val="00AB5C91"/>
    <w:rsid w:val="00AB66DC"/>
    <w:rsid w:val="00AC0403"/>
    <w:rsid w:val="00AC1A36"/>
    <w:rsid w:val="00AC1C36"/>
    <w:rsid w:val="00AC1E49"/>
    <w:rsid w:val="00AC327C"/>
    <w:rsid w:val="00AC3731"/>
    <w:rsid w:val="00AC445C"/>
    <w:rsid w:val="00AD0319"/>
    <w:rsid w:val="00AD078B"/>
    <w:rsid w:val="00AD09BE"/>
    <w:rsid w:val="00AD1CBA"/>
    <w:rsid w:val="00AD388A"/>
    <w:rsid w:val="00AD42AB"/>
    <w:rsid w:val="00AE270F"/>
    <w:rsid w:val="00AE2F1A"/>
    <w:rsid w:val="00AE46C7"/>
    <w:rsid w:val="00AE6B6C"/>
    <w:rsid w:val="00AE6E77"/>
    <w:rsid w:val="00AF0DF8"/>
    <w:rsid w:val="00AF18F6"/>
    <w:rsid w:val="00AF197B"/>
    <w:rsid w:val="00AF2AB9"/>
    <w:rsid w:val="00AF2E77"/>
    <w:rsid w:val="00AF34B8"/>
    <w:rsid w:val="00AF481A"/>
    <w:rsid w:val="00AF4EEC"/>
    <w:rsid w:val="00AF515D"/>
    <w:rsid w:val="00AF54FA"/>
    <w:rsid w:val="00AF55F6"/>
    <w:rsid w:val="00AF599C"/>
    <w:rsid w:val="00AF7003"/>
    <w:rsid w:val="00B01ED5"/>
    <w:rsid w:val="00B02A48"/>
    <w:rsid w:val="00B036EA"/>
    <w:rsid w:val="00B03F8C"/>
    <w:rsid w:val="00B04489"/>
    <w:rsid w:val="00B04764"/>
    <w:rsid w:val="00B04D5C"/>
    <w:rsid w:val="00B0529D"/>
    <w:rsid w:val="00B053A8"/>
    <w:rsid w:val="00B06F55"/>
    <w:rsid w:val="00B11635"/>
    <w:rsid w:val="00B13B27"/>
    <w:rsid w:val="00B14630"/>
    <w:rsid w:val="00B16DC8"/>
    <w:rsid w:val="00B16F45"/>
    <w:rsid w:val="00B2001B"/>
    <w:rsid w:val="00B20832"/>
    <w:rsid w:val="00B21396"/>
    <w:rsid w:val="00B21652"/>
    <w:rsid w:val="00B257DC"/>
    <w:rsid w:val="00B26D72"/>
    <w:rsid w:val="00B279A5"/>
    <w:rsid w:val="00B300ED"/>
    <w:rsid w:val="00B309F2"/>
    <w:rsid w:val="00B30A34"/>
    <w:rsid w:val="00B30EAB"/>
    <w:rsid w:val="00B31F7F"/>
    <w:rsid w:val="00B327E9"/>
    <w:rsid w:val="00B3354E"/>
    <w:rsid w:val="00B33DA7"/>
    <w:rsid w:val="00B35521"/>
    <w:rsid w:val="00B35A2B"/>
    <w:rsid w:val="00B362E2"/>
    <w:rsid w:val="00B36BAF"/>
    <w:rsid w:val="00B36F27"/>
    <w:rsid w:val="00B379C5"/>
    <w:rsid w:val="00B401C1"/>
    <w:rsid w:val="00B405A5"/>
    <w:rsid w:val="00B40AE0"/>
    <w:rsid w:val="00B4100A"/>
    <w:rsid w:val="00B4151F"/>
    <w:rsid w:val="00B41656"/>
    <w:rsid w:val="00B424D0"/>
    <w:rsid w:val="00B43D87"/>
    <w:rsid w:val="00B4599E"/>
    <w:rsid w:val="00B45DD4"/>
    <w:rsid w:val="00B462DC"/>
    <w:rsid w:val="00B503B8"/>
    <w:rsid w:val="00B50579"/>
    <w:rsid w:val="00B51D66"/>
    <w:rsid w:val="00B520C5"/>
    <w:rsid w:val="00B52888"/>
    <w:rsid w:val="00B53164"/>
    <w:rsid w:val="00B5392A"/>
    <w:rsid w:val="00B53E7F"/>
    <w:rsid w:val="00B55911"/>
    <w:rsid w:val="00B559A2"/>
    <w:rsid w:val="00B55D9E"/>
    <w:rsid w:val="00B55F8C"/>
    <w:rsid w:val="00B568CF"/>
    <w:rsid w:val="00B57A87"/>
    <w:rsid w:val="00B603CC"/>
    <w:rsid w:val="00B6210B"/>
    <w:rsid w:val="00B64625"/>
    <w:rsid w:val="00B650AC"/>
    <w:rsid w:val="00B65C5E"/>
    <w:rsid w:val="00B65E32"/>
    <w:rsid w:val="00B667E0"/>
    <w:rsid w:val="00B671A3"/>
    <w:rsid w:val="00B67DCF"/>
    <w:rsid w:val="00B70156"/>
    <w:rsid w:val="00B71415"/>
    <w:rsid w:val="00B714D7"/>
    <w:rsid w:val="00B71963"/>
    <w:rsid w:val="00B71AF2"/>
    <w:rsid w:val="00B71DBA"/>
    <w:rsid w:val="00B73A7C"/>
    <w:rsid w:val="00B74594"/>
    <w:rsid w:val="00B76646"/>
    <w:rsid w:val="00B82648"/>
    <w:rsid w:val="00B84CE1"/>
    <w:rsid w:val="00B858A4"/>
    <w:rsid w:val="00B85B3D"/>
    <w:rsid w:val="00B86741"/>
    <w:rsid w:val="00B929B8"/>
    <w:rsid w:val="00B92A57"/>
    <w:rsid w:val="00B93238"/>
    <w:rsid w:val="00B947C3"/>
    <w:rsid w:val="00B97EF8"/>
    <w:rsid w:val="00BA2788"/>
    <w:rsid w:val="00BA2C69"/>
    <w:rsid w:val="00BA2DCF"/>
    <w:rsid w:val="00BA560D"/>
    <w:rsid w:val="00BA586C"/>
    <w:rsid w:val="00BA61D7"/>
    <w:rsid w:val="00BA7D61"/>
    <w:rsid w:val="00BB0D45"/>
    <w:rsid w:val="00BB1805"/>
    <w:rsid w:val="00BB36D4"/>
    <w:rsid w:val="00BB3DFE"/>
    <w:rsid w:val="00BB5027"/>
    <w:rsid w:val="00BB51CF"/>
    <w:rsid w:val="00BB55CA"/>
    <w:rsid w:val="00BB58AE"/>
    <w:rsid w:val="00BB6A9C"/>
    <w:rsid w:val="00BB6C0D"/>
    <w:rsid w:val="00BB6D10"/>
    <w:rsid w:val="00BB77CC"/>
    <w:rsid w:val="00BC02E9"/>
    <w:rsid w:val="00BC0CD3"/>
    <w:rsid w:val="00BC0F53"/>
    <w:rsid w:val="00BC11E3"/>
    <w:rsid w:val="00BC189B"/>
    <w:rsid w:val="00BC268A"/>
    <w:rsid w:val="00BC30F7"/>
    <w:rsid w:val="00BC3574"/>
    <w:rsid w:val="00BC3B30"/>
    <w:rsid w:val="00BC5EF4"/>
    <w:rsid w:val="00BC6E3A"/>
    <w:rsid w:val="00BD0499"/>
    <w:rsid w:val="00BD0FD9"/>
    <w:rsid w:val="00BD29F2"/>
    <w:rsid w:val="00BD46A0"/>
    <w:rsid w:val="00BD5E24"/>
    <w:rsid w:val="00BD5E44"/>
    <w:rsid w:val="00BD6704"/>
    <w:rsid w:val="00BD74CC"/>
    <w:rsid w:val="00BD758C"/>
    <w:rsid w:val="00BE0586"/>
    <w:rsid w:val="00BE0F18"/>
    <w:rsid w:val="00BE2458"/>
    <w:rsid w:val="00BE37C7"/>
    <w:rsid w:val="00BE3C56"/>
    <w:rsid w:val="00BE3C80"/>
    <w:rsid w:val="00BE41A4"/>
    <w:rsid w:val="00BE50F7"/>
    <w:rsid w:val="00BE52CC"/>
    <w:rsid w:val="00BE5C51"/>
    <w:rsid w:val="00BE7344"/>
    <w:rsid w:val="00BE7F12"/>
    <w:rsid w:val="00BF0A9E"/>
    <w:rsid w:val="00BF16CA"/>
    <w:rsid w:val="00BF2ED7"/>
    <w:rsid w:val="00BF2FD2"/>
    <w:rsid w:val="00BF444B"/>
    <w:rsid w:val="00BF53A9"/>
    <w:rsid w:val="00BF630D"/>
    <w:rsid w:val="00BF7E0D"/>
    <w:rsid w:val="00C00D13"/>
    <w:rsid w:val="00C02BFD"/>
    <w:rsid w:val="00C052A8"/>
    <w:rsid w:val="00C053FD"/>
    <w:rsid w:val="00C05DDB"/>
    <w:rsid w:val="00C05E3D"/>
    <w:rsid w:val="00C05EDB"/>
    <w:rsid w:val="00C07947"/>
    <w:rsid w:val="00C10361"/>
    <w:rsid w:val="00C1131C"/>
    <w:rsid w:val="00C11ADB"/>
    <w:rsid w:val="00C120DC"/>
    <w:rsid w:val="00C12559"/>
    <w:rsid w:val="00C1356E"/>
    <w:rsid w:val="00C16BBF"/>
    <w:rsid w:val="00C16E16"/>
    <w:rsid w:val="00C17667"/>
    <w:rsid w:val="00C177E0"/>
    <w:rsid w:val="00C208B3"/>
    <w:rsid w:val="00C2135F"/>
    <w:rsid w:val="00C217A8"/>
    <w:rsid w:val="00C22977"/>
    <w:rsid w:val="00C22AC9"/>
    <w:rsid w:val="00C23036"/>
    <w:rsid w:val="00C2363F"/>
    <w:rsid w:val="00C240C9"/>
    <w:rsid w:val="00C2511E"/>
    <w:rsid w:val="00C252DC"/>
    <w:rsid w:val="00C25B57"/>
    <w:rsid w:val="00C2664A"/>
    <w:rsid w:val="00C306A8"/>
    <w:rsid w:val="00C322DA"/>
    <w:rsid w:val="00C32469"/>
    <w:rsid w:val="00C32E48"/>
    <w:rsid w:val="00C352AC"/>
    <w:rsid w:val="00C4001D"/>
    <w:rsid w:val="00C41126"/>
    <w:rsid w:val="00C41BD3"/>
    <w:rsid w:val="00C42100"/>
    <w:rsid w:val="00C42838"/>
    <w:rsid w:val="00C43819"/>
    <w:rsid w:val="00C44524"/>
    <w:rsid w:val="00C44547"/>
    <w:rsid w:val="00C45AA7"/>
    <w:rsid w:val="00C501D6"/>
    <w:rsid w:val="00C517FC"/>
    <w:rsid w:val="00C524E7"/>
    <w:rsid w:val="00C53199"/>
    <w:rsid w:val="00C61CBD"/>
    <w:rsid w:val="00C61D34"/>
    <w:rsid w:val="00C61D3C"/>
    <w:rsid w:val="00C627EA"/>
    <w:rsid w:val="00C62CF7"/>
    <w:rsid w:val="00C637C3"/>
    <w:rsid w:val="00C643C9"/>
    <w:rsid w:val="00C64784"/>
    <w:rsid w:val="00C647CB"/>
    <w:rsid w:val="00C64B2F"/>
    <w:rsid w:val="00C64D2F"/>
    <w:rsid w:val="00C64FBD"/>
    <w:rsid w:val="00C672D8"/>
    <w:rsid w:val="00C67CEE"/>
    <w:rsid w:val="00C704E3"/>
    <w:rsid w:val="00C70646"/>
    <w:rsid w:val="00C70B1F"/>
    <w:rsid w:val="00C71043"/>
    <w:rsid w:val="00C716A1"/>
    <w:rsid w:val="00C722A6"/>
    <w:rsid w:val="00C7306B"/>
    <w:rsid w:val="00C730DD"/>
    <w:rsid w:val="00C74062"/>
    <w:rsid w:val="00C7408B"/>
    <w:rsid w:val="00C74192"/>
    <w:rsid w:val="00C74888"/>
    <w:rsid w:val="00C74C58"/>
    <w:rsid w:val="00C74FED"/>
    <w:rsid w:val="00C77A6B"/>
    <w:rsid w:val="00C8026E"/>
    <w:rsid w:val="00C802DB"/>
    <w:rsid w:val="00C804E8"/>
    <w:rsid w:val="00C81070"/>
    <w:rsid w:val="00C8134F"/>
    <w:rsid w:val="00C819E8"/>
    <w:rsid w:val="00C81AC8"/>
    <w:rsid w:val="00C823BB"/>
    <w:rsid w:val="00C82539"/>
    <w:rsid w:val="00C82A10"/>
    <w:rsid w:val="00C83A1B"/>
    <w:rsid w:val="00C845BA"/>
    <w:rsid w:val="00C8495B"/>
    <w:rsid w:val="00C857F5"/>
    <w:rsid w:val="00C85AA5"/>
    <w:rsid w:val="00C873D3"/>
    <w:rsid w:val="00C9111D"/>
    <w:rsid w:val="00C914EE"/>
    <w:rsid w:val="00C955D1"/>
    <w:rsid w:val="00C96F38"/>
    <w:rsid w:val="00C97FD4"/>
    <w:rsid w:val="00CA0BAE"/>
    <w:rsid w:val="00CA1129"/>
    <w:rsid w:val="00CA1D4B"/>
    <w:rsid w:val="00CA226C"/>
    <w:rsid w:val="00CA2D97"/>
    <w:rsid w:val="00CA497E"/>
    <w:rsid w:val="00CA68C7"/>
    <w:rsid w:val="00CA7156"/>
    <w:rsid w:val="00CA7239"/>
    <w:rsid w:val="00CA7ADC"/>
    <w:rsid w:val="00CB0EAA"/>
    <w:rsid w:val="00CB1916"/>
    <w:rsid w:val="00CB354A"/>
    <w:rsid w:val="00CB46D4"/>
    <w:rsid w:val="00CB4F99"/>
    <w:rsid w:val="00CB5891"/>
    <w:rsid w:val="00CB6F92"/>
    <w:rsid w:val="00CC1AA4"/>
    <w:rsid w:val="00CC1F19"/>
    <w:rsid w:val="00CC2EBC"/>
    <w:rsid w:val="00CC42F9"/>
    <w:rsid w:val="00CC4C97"/>
    <w:rsid w:val="00CC6294"/>
    <w:rsid w:val="00CD0156"/>
    <w:rsid w:val="00CD0EE4"/>
    <w:rsid w:val="00CD18F1"/>
    <w:rsid w:val="00CD3A07"/>
    <w:rsid w:val="00CD3C54"/>
    <w:rsid w:val="00CD43BD"/>
    <w:rsid w:val="00CD4992"/>
    <w:rsid w:val="00CD5C8D"/>
    <w:rsid w:val="00CD6070"/>
    <w:rsid w:val="00CD65DB"/>
    <w:rsid w:val="00CD79B0"/>
    <w:rsid w:val="00CE033A"/>
    <w:rsid w:val="00CE1693"/>
    <w:rsid w:val="00CE1995"/>
    <w:rsid w:val="00CE35EE"/>
    <w:rsid w:val="00CE3FFF"/>
    <w:rsid w:val="00CE7C5C"/>
    <w:rsid w:val="00CF0408"/>
    <w:rsid w:val="00CF0726"/>
    <w:rsid w:val="00CF183E"/>
    <w:rsid w:val="00CF1C47"/>
    <w:rsid w:val="00CF1DC5"/>
    <w:rsid w:val="00CF2919"/>
    <w:rsid w:val="00CF397A"/>
    <w:rsid w:val="00CF431C"/>
    <w:rsid w:val="00CF518C"/>
    <w:rsid w:val="00CF6D30"/>
    <w:rsid w:val="00CF7AE9"/>
    <w:rsid w:val="00D0342D"/>
    <w:rsid w:val="00D045E1"/>
    <w:rsid w:val="00D06A6C"/>
    <w:rsid w:val="00D079A0"/>
    <w:rsid w:val="00D10E82"/>
    <w:rsid w:val="00D11C5B"/>
    <w:rsid w:val="00D11C7E"/>
    <w:rsid w:val="00D12ADC"/>
    <w:rsid w:val="00D14A7D"/>
    <w:rsid w:val="00D1569A"/>
    <w:rsid w:val="00D160E3"/>
    <w:rsid w:val="00D16625"/>
    <w:rsid w:val="00D1778F"/>
    <w:rsid w:val="00D20FA7"/>
    <w:rsid w:val="00D21203"/>
    <w:rsid w:val="00D21FA9"/>
    <w:rsid w:val="00D22655"/>
    <w:rsid w:val="00D240BD"/>
    <w:rsid w:val="00D2474D"/>
    <w:rsid w:val="00D2549C"/>
    <w:rsid w:val="00D25F6D"/>
    <w:rsid w:val="00D2617A"/>
    <w:rsid w:val="00D272E5"/>
    <w:rsid w:val="00D27C66"/>
    <w:rsid w:val="00D314F1"/>
    <w:rsid w:val="00D315AD"/>
    <w:rsid w:val="00D31A8F"/>
    <w:rsid w:val="00D32E13"/>
    <w:rsid w:val="00D3324E"/>
    <w:rsid w:val="00D33358"/>
    <w:rsid w:val="00D338A6"/>
    <w:rsid w:val="00D3427F"/>
    <w:rsid w:val="00D3480A"/>
    <w:rsid w:val="00D354D2"/>
    <w:rsid w:val="00D355B4"/>
    <w:rsid w:val="00D355F5"/>
    <w:rsid w:val="00D35AD8"/>
    <w:rsid w:val="00D3689D"/>
    <w:rsid w:val="00D36A04"/>
    <w:rsid w:val="00D4004A"/>
    <w:rsid w:val="00D4090F"/>
    <w:rsid w:val="00D424D0"/>
    <w:rsid w:val="00D42CCC"/>
    <w:rsid w:val="00D43C53"/>
    <w:rsid w:val="00D458DB"/>
    <w:rsid w:val="00D47995"/>
    <w:rsid w:val="00D50061"/>
    <w:rsid w:val="00D50CB7"/>
    <w:rsid w:val="00D50F77"/>
    <w:rsid w:val="00D52F86"/>
    <w:rsid w:val="00D5381D"/>
    <w:rsid w:val="00D5388A"/>
    <w:rsid w:val="00D53F61"/>
    <w:rsid w:val="00D54320"/>
    <w:rsid w:val="00D559E4"/>
    <w:rsid w:val="00D600EB"/>
    <w:rsid w:val="00D61FE6"/>
    <w:rsid w:val="00D6248D"/>
    <w:rsid w:val="00D63505"/>
    <w:rsid w:val="00D6510A"/>
    <w:rsid w:val="00D665A4"/>
    <w:rsid w:val="00D67F63"/>
    <w:rsid w:val="00D70923"/>
    <w:rsid w:val="00D70D04"/>
    <w:rsid w:val="00D72502"/>
    <w:rsid w:val="00D726B3"/>
    <w:rsid w:val="00D73701"/>
    <w:rsid w:val="00D748F9"/>
    <w:rsid w:val="00D74D53"/>
    <w:rsid w:val="00D75083"/>
    <w:rsid w:val="00D7640C"/>
    <w:rsid w:val="00D764BB"/>
    <w:rsid w:val="00D77019"/>
    <w:rsid w:val="00D8018C"/>
    <w:rsid w:val="00D806A2"/>
    <w:rsid w:val="00D80733"/>
    <w:rsid w:val="00D83D4C"/>
    <w:rsid w:val="00D84558"/>
    <w:rsid w:val="00D84911"/>
    <w:rsid w:val="00D84B87"/>
    <w:rsid w:val="00D85015"/>
    <w:rsid w:val="00D85BDF"/>
    <w:rsid w:val="00D8708E"/>
    <w:rsid w:val="00D87206"/>
    <w:rsid w:val="00D8783F"/>
    <w:rsid w:val="00D9241B"/>
    <w:rsid w:val="00D92E08"/>
    <w:rsid w:val="00D95100"/>
    <w:rsid w:val="00DA0E9A"/>
    <w:rsid w:val="00DA113A"/>
    <w:rsid w:val="00DA1B10"/>
    <w:rsid w:val="00DA257F"/>
    <w:rsid w:val="00DA64A4"/>
    <w:rsid w:val="00DA77FF"/>
    <w:rsid w:val="00DB1270"/>
    <w:rsid w:val="00DB237B"/>
    <w:rsid w:val="00DB2720"/>
    <w:rsid w:val="00DB2F0E"/>
    <w:rsid w:val="00DB343D"/>
    <w:rsid w:val="00DB3AEC"/>
    <w:rsid w:val="00DB4B3B"/>
    <w:rsid w:val="00DB4BA6"/>
    <w:rsid w:val="00DB58B4"/>
    <w:rsid w:val="00DB60A1"/>
    <w:rsid w:val="00DB7E02"/>
    <w:rsid w:val="00DB7F13"/>
    <w:rsid w:val="00DC0AEB"/>
    <w:rsid w:val="00DC1028"/>
    <w:rsid w:val="00DC2892"/>
    <w:rsid w:val="00DC3415"/>
    <w:rsid w:val="00DC55CE"/>
    <w:rsid w:val="00DC6909"/>
    <w:rsid w:val="00DC7039"/>
    <w:rsid w:val="00DC7D7B"/>
    <w:rsid w:val="00DD4AB1"/>
    <w:rsid w:val="00DD5005"/>
    <w:rsid w:val="00DD6215"/>
    <w:rsid w:val="00DD64F6"/>
    <w:rsid w:val="00DD6F9A"/>
    <w:rsid w:val="00DD750F"/>
    <w:rsid w:val="00DD7559"/>
    <w:rsid w:val="00DD7A07"/>
    <w:rsid w:val="00DE02A0"/>
    <w:rsid w:val="00DE1B32"/>
    <w:rsid w:val="00DE1D47"/>
    <w:rsid w:val="00DE2A18"/>
    <w:rsid w:val="00DE4B23"/>
    <w:rsid w:val="00DE55D2"/>
    <w:rsid w:val="00DE5867"/>
    <w:rsid w:val="00DF0780"/>
    <w:rsid w:val="00DF19AD"/>
    <w:rsid w:val="00DF3B1F"/>
    <w:rsid w:val="00DF5050"/>
    <w:rsid w:val="00DF533C"/>
    <w:rsid w:val="00DF6E7B"/>
    <w:rsid w:val="00E0072D"/>
    <w:rsid w:val="00E0165C"/>
    <w:rsid w:val="00E0299F"/>
    <w:rsid w:val="00E03C00"/>
    <w:rsid w:val="00E04552"/>
    <w:rsid w:val="00E04594"/>
    <w:rsid w:val="00E05157"/>
    <w:rsid w:val="00E06F83"/>
    <w:rsid w:val="00E101E2"/>
    <w:rsid w:val="00E107B9"/>
    <w:rsid w:val="00E10B17"/>
    <w:rsid w:val="00E12ACF"/>
    <w:rsid w:val="00E141BE"/>
    <w:rsid w:val="00E14327"/>
    <w:rsid w:val="00E1528C"/>
    <w:rsid w:val="00E16851"/>
    <w:rsid w:val="00E17258"/>
    <w:rsid w:val="00E209C3"/>
    <w:rsid w:val="00E20E89"/>
    <w:rsid w:val="00E21D16"/>
    <w:rsid w:val="00E244AE"/>
    <w:rsid w:val="00E24BBB"/>
    <w:rsid w:val="00E267E0"/>
    <w:rsid w:val="00E302FD"/>
    <w:rsid w:val="00E3076E"/>
    <w:rsid w:val="00E30BD7"/>
    <w:rsid w:val="00E3101D"/>
    <w:rsid w:val="00E31A7C"/>
    <w:rsid w:val="00E31F9E"/>
    <w:rsid w:val="00E32556"/>
    <w:rsid w:val="00E32F53"/>
    <w:rsid w:val="00E33689"/>
    <w:rsid w:val="00E3409A"/>
    <w:rsid w:val="00E34D0D"/>
    <w:rsid w:val="00E34FCB"/>
    <w:rsid w:val="00E371E0"/>
    <w:rsid w:val="00E37586"/>
    <w:rsid w:val="00E401E9"/>
    <w:rsid w:val="00E403DD"/>
    <w:rsid w:val="00E41CAB"/>
    <w:rsid w:val="00E42100"/>
    <w:rsid w:val="00E44E14"/>
    <w:rsid w:val="00E45FAE"/>
    <w:rsid w:val="00E46FDB"/>
    <w:rsid w:val="00E5023F"/>
    <w:rsid w:val="00E50C23"/>
    <w:rsid w:val="00E5359F"/>
    <w:rsid w:val="00E537B1"/>
    <w:rsid w:val="00E538B8"/>
    <w:rsid w:val="00E5470F"/>
    <w:rsid w:val="00E565F4"/>
    <w:rsid w:val="00E568DA"/>
    <w:rsid w:val="00E56BE4"/>
    <w:rsid w:val="00E56CBB"/>
    <w:rsid w:val="00E574A4"/>
    <w:rsid w:val="00E577BF"/>
    <w:rsid w:val="00E60924"/>
    <w:rsid w:val="00E61018"/>
    <w:rsid w:val="00E63013"/>
    <w:rsid w:val="00E646AE"/>
    <w:rsid w:val="00E64772"/>
    <w:rsid w:val="00E65683"/>
    <w:rsid w:val="00E66B68"/>
    <w:rsid w:val="00E67055"/>
    <w:rsid w:val="00E72712"/>
    <w:rsid w:val="00E73065"/>
    <w:rsid w:val="00E73287"/>
    <w:rsid w:val="00E73562"/>
    <w:rsid w:val="00E7356B"/>
    <w:rsid w:val="00E73655"/>
    <w:rsid w:val="00E76F10"/>
    <w:rsid w:val="00E77505"/>
    <w:rsid w:val="00E8074B"/>
    <w:rsid w:val="00E808BB"/>
    <w:rsid w:val="00E81D51"/>
    <w:rsid w:val="00E81E25"/>
    <w:rsid w:val="00E829F7"/>
    <w:rsid w:val="00E83162"/>
    <w:rsid w:val="00E836DF"/>
    <w:rsid w:val="00E83ACA"/>
    <w:rsid w:val="00E85485"/>
    <w:rsid w:val="00E854F7"/>
    <w:rsid w:val="00E85C2F"/>
    <w:rsid w:val="00E86FB3"/>
    <w:rsid w:val="00E874C2"/>
    <w:rsid w:val="00E9094B"/>
    <w:rsid w:val="00E917E1"/>
    <w:rsid w:val="00E9190F"/>
    <w:rsid w:val="00E93079"/>
    <w:rsid w:val="00E93862"/>
    <w:rsid w:val="00E97811"/>
    <w:rsid w:val="00E97A18"/>
    <w:rsid w:val="00E97B23"/>
    <w:rsid w:val="00EA0A7B"/>
    <w:rsid w:val="00EA2B19"/>
    <w:rsid w:val="00EA4349"/>
    <w:rsid w:val="00EA49B3"/>
    <w:rsid w:val="00EA4F99"/>
    <w:rsid w:val="00EA527E"/>
    <w:rsid w:val="00EA7963"/>
    <w:rsid w:val="00EB09CB"/>
    <w:rsid w:val="00EB217A"/>
    <w:rsid w:val="00EB2508"/>
    <w:rsid w:val="00EB31D2"/>
    <w:rsid w:val="00EB35D7"/>
    <w:rsid w:val="00EB4152"/>
    <w:rsid w:val="00EB43A7"/>
    <w:rsid w:val="00EB4ADD"/>
    <w:rsid w:val="00EB6001"/>
    <w:rsid w:val="00EB6348"/>
    <w:rsid w:val="00EC39A8"/>
    <w:rsid w:val="00EC3B2F"/>
    <w:rsid w:val="00EC3D7A"/>
    <w:rsid w:val="00EC41C7"/>
    <w:rsid w:val="00EC4B33"/>
    <w:rsid w:val="00EC5BC2"/>
    <w:rsid w:val="00EC74BC"/>
    <w:rsid w:val="00ED0F4A"/>
    <w:rsid w:val="00ED34DF"/>
    <w:rsid w:val="00ED3937"/>
    <w:rsid w:val="00ED5711"/>
    <w:rsid w:val="00ED597B"/>
    <w:rsid w:val="00ED6C17"/>
    <w:rsid w:val="00ED7573"/>
    <w:rsid w:val="00EE0727"/>
    <w:rsid w:val="00EE256A"/>
    <w:rsid w:val="00EE4475"/>
    <w:rsid w:val="00EE590D"/>
    <w:rsid w:val="00EE624E"/>
    <w:rsid w:val="00EE73B9"/>
    <w:rsid w:val="00EE765D"/>
    <w:rsid w:val="00EE7C06"/>
    <w:rsid w:val="00EE7FF6"/>
    <w:rsid w:val="00EF0061"/>
    <w:rsid w:val="00EF0FB1"/>
    <w:rsid w:val="00EF13C0"/>
    <w:rsid w:val="00EF1A67"/>
    <w:rsid w:val="00EF7173"/>
    <w:rsid w:val="00EF7595"/>
    <w:rsid w:val="00EF7921"/>
    <w:rsid w:val="00F00568"/>
    <w:rsid w:val="00F00C03"/>
    <w:rsid w:val="00F015AA"/>
    <w:rsid w:val="00F01F1D"/>
    <w:rsid w:val="00F028AC"/>
    <w:rsid w:val="00F032FF"/>
    <w:rsid w:val="00F0371F"/>
    <w:rsid w:val="00F03D68"/>
    <w:rsid w:val="00F047E0"/>
    <w:rsid w:val="00F04C21"/>
    <w:rsid w:val="00F052E1"/>
    <w:rsid w:val="00F05B2F"/>
    <w:rsid w:val="00F06E7A"/>
    <w:rsid w:val="00F07F22"/>
    <w:rsid w:val="00F10563"/>
    <w:rsid w:val="00F113D0"/>
    <w:rsid w:val="00F12D32"/>
    <w:rsid w:val="00F1356D"/>
    <w:rsid w:val="00F13618"/>
    <w:rsid w:val="00F1482C"/>
    <w:rsid w:val="00F15DFC"/>
    <w:rsid w:val="00F16D56"/>
    <w:rsid w:val="00F17C37"/>
    <w:rsid w:val="00F204A5"/>
    <w:rsid w:val="00F205A9"/>
    <w:rsid w:val="00F20ADB"/>
    <w:rsid w:val="00F21342"/>
    <w:rsid w:val="00F22227"/>
    <w:rsid w:val="00F229D8"/>
    <w:rsid w:val="00F22F2E"/>
    <w:rsid w:val="00F238D1"/>
    <w:rsid w:val="00F25114"/>
    <w:rsid w:val="00F2689C"/>
    <w:rsid w:val="00F303AA"/>
    <w:rsid w:val="00F30FF7"/>
    <w:rsid w:val="00F34AE9"/>
    <w:rsid w:val="00F362CE"/>
    <w:rsid w:val="00F369D1"/>
    <w:rsid w:val="00F36D4E"/>
    <w:rsid w:val="00F37AE9"/>
    <w:rsid w:val="00F37BB7"/>
    <w:rsid w:val="00F40225"/>
    <w:rsid w:val="00F40514"/>
    <w:rsid w:val="00F4126C"/>
    <w:rsid w:val="00F428DF"/>
    <w:rsid w:val="00F42EBD"/>
    <w:rsid w:val="00F44527"/>
    <w:rsid w:val="00F4457B"/>
    <w:rsid w:val="00F45F2E"/>
    <w:rsid w:val="00F46878"/>
    <w:rsid w:val="00F469A2"/>
    <w:rsid w:val="00F47107"/>
    <w:rsid w:val="00F476F4"/>
    <w:rsid w:val="00F47DA0"/>
    <w:rsid w:val="00F5124E"/>
    <w:rsid w:val="00F52497"/>
    <w:rsid w:val="00F52C93"/>
    <w:rsid w:val="00F537B8"/>
    <w:rsid w:val="00F54C88"/>
    <w:rsid w:val="00F55818"/>
    <w:rsid w:val="00F6012E"/>
    <w:rsid w:val="00F61088"/>
    <w:rsid w:val="00F61A25"/>
    <w:rsid w:val="00F63938"/>
    <w:rsid w:val="00F65425"/>
    <w:rsid w:val="00F66783"/>
    <w:rsid w:val="00F72393"/>
    <w:rsid w:val="00F74C69"/>
    <w:rsid w:val="00F74E5B"/>
    <w:rsid w:val="00F7505C"/>
    <w:rsid w:val="00F75188"/>
    <w:rsid w:val="00F76344"/>
    <w:rsid w:val="00F76767"/>
    <w:rsid w:val="00F76B69"/>
    <w:rsid w:val="00F76E49"/>
    <w:rsid w:val="00F81428"/>
    <w:rsid w:val="00F83092"/>
    <w:rsid w:val="00F83E2F"/>
    <w:rsid w:val="00F87461"/>
    <w:rsid w:val="00F87724"/>
    <w:rsid w:val="00F878C7"/>
    <w:rsid w:val="00F87B6B"/>
    <w:rsid w:val="00F905A5"/>
    <w:rsid w:val="00F9095C"/>
    <w:rsid w:val="00F90AE3"/>
    <w:rsid w:val="00F91264"/>
    <w:rsid w:val="00F91EF5"/>
    <w:rsid w:val="00F9315D"/>
    <w:rsid w:val="00F952A4"/>
    <w:rsid w:val="00F953A9"/>
    <w:rsid w:val="00F9545E"/>
    <w:rsid w:val="00F9563E"/>
    <w:rsid w:val="00F968FA"/>
    <w:rsid w:val="00F974A8"/>
    <w:rsid w:val="00F97681"/>
    <w:rsid w:val="00F97A3E"/>
    <w:rsid w:val="00F97BBD"/>
    <w:rsid w:val="00FA158C"/>
    <w:rsid w:val="00FA1D81"/>
    <w:rsid w:val="00FA289E"/>
    <w:rsid w:val="00FA2D5B"/>
    <w:rsid w:val="00FA3148"/>
    <w:rsid w:val="00FA3B03"/>
    <w:rsid w:val="00FA3FDE"/>
    <w:rsid w:val="00FA6005"/>
    <w:rsid w:val="00FA6476"/>
    <w:rsid w:val="00FA7192"/>
    <w:rsid w:val="00FA7EF2"/>
    <w:rsid w:val="00FB1ADC"/>
    <w:rsid w:val="00FB2D4A"/>
    <w:rsid w:val="00FB496B"/>
    <w:rsid w:val="00FB4C8C"/>
    <w:rsid w:val="00FB5E28"/>
    <w:rsid w:val="00FB6114"/>
    <w:rsid w:val="00FB6FF0"/>
    <w:rsid w:val="00FB7B2B"/>
    <w:rsid w:val="00FC1142"/>
    <w:rsid w:val="00FC1D3F"/>
    <w:rsid w:val="00FC4CA1"/>
    <w:rsid w:val="00FC500C"/>
    <w:rsid w:val="00FD059C"/>
    <w:rsid w:val="00FD06CB"/>
    <w:rsid w:val="00FD12C1"/>
    <w:rsid w:val="00FD15AE"/>
    <w:rsid w:val="00FD2837"/>
    <w:rsid w:val="00FD3BD4"/>
    <w:rsid w:val="00FD4EF8"/>
    <w:rsid w:val="00FD5488"/>
    <w:rsid w:val="00FD6F10"/>
    <w:rsid w:val="00FD6F96"/>
    <w:rsid w:val="00FD7534"/>
    <w:rsid w:val="00FE053C"/>
    <w:rsid w:val="00FE07B5"/>
    <w:rsid w:val="00FE0F7F"/>
    <w:rsid w:val="00FE2134"/>
    <w:rsid w:val="00FE2A74"/>
    <w:rsid w:val="00FE30B0"/>
    <w:rsid w:val="00FE329C"/>
    <w:rsid w:val="00FE3F2E"/>
    <w:rsid w:val="00FE43BD"/>
    <w:rsid w:val="00FE5230"/>
    <w:rsid w:val="00FE6EF4"/>
    <w:rsid w:val="00FE7865"/>
    <w:rsid w:val="00FE7C56"/>
    <w:rsid w:val="00FE7E8C"/>
    <w:rsid w:val="00FF095A"/>
    <w:rsid w:val="00FF1536"/>
    <w:rsid w:val="00FF2081"/>
    <w:rsid w:val="00FF44E7"/>
    <w:rsid w:val="00FF5087"/>
    <w:rsid w:val="00FF5519"/>
    <w:rsid w:val="00FF55A5"/>
    <w:rsid w:val="00FF5B4A"/>
    <w:rsid w:val="00FF6B93"/>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2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38"/>
    <w:rPr>
      <w:lang w:eastAsia="en-US"/>
    </w:rPr>
  </w:style>
  <w:style w:type="paragraph" w:styleId="Heading1">
    <w:name w:val="heading 1"/>
    <w:basedOn w:val="Normal"/>
    <w:next w:val="Normal"/>
    <w:link w:val="Heading1Char"/>
    <w:uiPriority w:val="99"/>
    <w:qFormat/>
    <w:rsid w:val="00A62838"/>
    <w:pPr>
      <w:keepNext/>
      <w:jc w:val="both"/>
      <w:outlineLvl w:val="0"/>
    </w:pPr>
    <w:rPr>
      <w:b/>
      <w:sz w:val="24"/>
      <w:lang w:val="en-US"/>
    </w:rPr>
  </w:style>
  <w:style w:type="paragraph" w:styleId="Heading2">
    <w:name w:val="heading 2"/>
    <w:basedOn w:val="Normal"/>
    <w:next w:val="Normal"/>
    <w:link w:val="Heading2Char"/>
    <w:uiPriority w:val="99"/>
    <w:qFormat/>
    <w:rsid w:val="00A62838"/>
    <w:pPr>
      <w:keepNext/>
      <w:ind w:left="720" w:hanging="720"/>
      <w:jc w:val="both"/>
      <w:outlineLvl w:val="1"/>
    </w:pPr>
    <w:rPr>
      <w:b/>
      <w:sz w:val="24"/>
      <w:u w:val="single"/>
    </w:rPr>
  </w:style>
  <w:style w:type="paragraph" w:styleId="Heading3">
    <w:name w:val="heading 3"/>
    <w:basedOn w:val="Normal"/>
    <w:next w:val="Normal"/>
    <w:link w:val="Heading3Char"/>
    <w:uiPriority w:val="99"/>
    <w:qFormat/>
    <w:rsid w:val="00A62838"/>
    <w:pPr>
      <w:keepNext/>
      <w:jc w:val="both"/>
      <w:outlineLvl w:val="2"/>
    </w:pPr>
    <w:rPr>
      <w:b/>
      <w:sz w:val="24"/>
      <w:u w:val="single"/>
    </w:rPr>
  </w:style>
  <w:style w:type="paragraph" w:styleId="Heading4">
    <w:name w:val="heading 4"/>
    <w:basedOn w:val="Normal"/>
    <w:next w:val="Normal"/>
    <w:link w:val="Heading4Char"/>
    <w:uiPriority w:val="99"/>
    <w:qFormat/>
    <w:rsid w:val="00A62838"/>
    <w:pPr>
      <w:keepNext/>
      <w:ind w:left="720" w:hanging="720"/>
      <w:jc w:val="both"/>
      <w:outlineLvl w:val="3"/>
    </w:pPr>
    <w:rPr>
      <w:b/>
      <w:sz w:val="24"/>
    </w:rPr>
  </w:style>
  <w:style w:type="paragraph" w:styleId="Heading5">
    <w:name w:val="heading 5"/>
    <w:basedOn w:val="Normal"/>
    <w:next w:val="Normal"/>
    <w:link w:val="Heading5Char"/>
    <w:uiPriority w:val="99"/>
    <w:qFormat/>
    <w:rsid w:val="00A62838"/>
    <w:pPr>
      <w:keepNext/>
      <w:ind w:left="720" w:hanging="720"/>
      <w:jc w:val="center"/>
      <w:outlineLvl w:val="4"/>
    </w:pPr>
    <w:rPr>
      <w:b/>
      <w:sz w:val="24"/>
      <w:u w:val="single"/>
    </w:rPr>
  </w:style>
  <w:style w:type="paragraph" w:styleId="Heading6">
    <w:name w:val="heading 6"/>
    <w:basedOn w:val="Normal"/>
    <w:next w:val="Normal"/>
    <w:link w:val="Heading6Char"/>
    <w:uiPriority w:val="99"/>
    <w:qFormat/>
    <w:rsid w:val="00A62838"/>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2BBF"/>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072BBF"/>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072BBF"/>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072BBF"/>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072BBF"/>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072BBF"/>
    <w:rPr>
      <w:rFonts w:ascii="Calibri" w:eastAsia="Times New Roman" w:hAnsi="Calibri" w:cs="Times New Roman"/>
      <w:b/>
      <w:bCs/>
      <w:lang w:val="en-GB"/>
    </w:rPr>
  </w:style>
  <w:style w:type="paragraph" w:styleId="List">
    <w:name w:val="List"/>
    <w:basedOn w:val="Normal"/>
    <w:uiPriority w:val="99"/>
    <w:rsid w:val="00A62838"/>
    <w:pPr>
      <w:ind w:left="360" w:hanging="360"/>
    </w:pPr>
    <w:rPr>
      <w:sz w:val="24"/>
      <w:lang w:val="en-US"/>
    </w:rPr>
  </w:style>
  <w:style w:type="paragraph" w:styleId="BodyText">
    <w:name w:val="Body Text"/>
    <w:basedOn w:val="Normal"/>
    <w:link w:val="BodyTextChar"/>
    <w:uiPriority w:val="99"/>
    <w:rsid w:val="00A62838"/>
    <w:pPr>
      <w:tabs>
        <w:tab w:val="left" w:pos="1440"/>
      </w:tabs>
      <w:jc w:val="both"/>
    </w:pPr>
    <w:rPr>
      <w:sz w:val="24"/>
    </w:rPr>
  </w:style>
  <w:style w:type="character" w:customStyle="1" w:styleId="BodyTextChar">
    <w:name w:val="Body Text Char"/>
    <w:link w:val="BodyText"/>
    <w:uiPriority w:val="99"/>
    <w:semiHidden/>
    <w:rsid w:val="00072BBF"/>
    <w:rPr>
      <w:sz w:val="20"/>
      <w:szCs w:val="20"/>
      <w:lang w:val="en-GB"/>
    </w:rPr>
  </w:style>
  <w:style w:type="paragraph" w:styleId="List2">
    <w:name w:val="List 2"/>
    <w:basedOn w:val="Normal"/>
    <w:uiPriority w:val="99"/>
    <w:rsid w:val="00A62838"/>
    <w:pPr>
      <w:ind w:left="720" w:hanging="360"/>
    </w:pPr>
    <w:rPr>
      <w:sz w:val="24"/>
      <w:lang w:val="en-US"/>
    </w:rPr>
  </w:style>
  <w:style w:type="paragraph" w:styleId="List3">
    <w:name w:val="List 3"/>
    <w:basedOn w:val="Normal"/>
    <w:uiPriority w:val="99"/>
    <w:rsid w:val="00A62838"/>
    <w:pPr>
      <w:ind w:left="1080" w:hanging="360"/>
    </w:pPr>
    <w:rPr>
      <w:sz w:val="24"/>
      <w:lang w:val="en-US"/>
    </w:rPr>
  </w:style>
  <w:style w:type="paragraph" w:styleId="BodyTextIndent">
    <w:name w:val="Body Text Indent"/>
    <w:basedOn w:val="Normal"/>
    <w:link w:val="BodyTextIndentChar"/>
    <w:rsid w:val="00A62838"/>
    <w:pPr>
      <w:ind w:left="567" w:hanging="567"/>
      <w:jc w:val="both"/>
    </w:pPr>
    <w:rPr>
      <w:sz w:val="24"/>
    </w:rPr>
  </w:style>
  <w:style w:type="character" w:customStyle="1" w:styleId="BodyTextIndentChar">
    <w:name w:val="Body Text Indent Char"/>
    <w:link w:val="BodyTextIndent"/>
    <w:locked/>
    <w:rsid w:val="006E5EB4"/>
    <w:rPr>
      <w:rFonts w:cs="Times New Roman"/>
      <w:sz w:val="24"/>
      <w:lang w:eastAsia="en-US"/>
    </w:rPr>
  </w:style>
  <w:style w:type="paragraph" w:styleId="BalloonText">
    <w:name w:val="Balloon Text"/>
    <w:basedOn w:val="Normal"/>
    <w:link w:val="BalloonTextChar"/>
    <w:uiPriority w:val="99"/>
    <w:semiHidden/>
    <w:rsid w:val="00BB77CC"/>
    <w:rPr>
      <w:rFonts w:ascii="Tahoma" w:hAnsi="Tahoma" w:cs="Tahoma"/>
      <w:sz w:val="16"/>
      <w:szCs w:val="16"/>
    </w:rPr>
  </w:style>
  <w:style w:type="character" w:customStyle="1" w:styleId="BalloonTextChar">
    <w:name w:val="Balloon Text Char"/>
    <w:link w:val="BalloonText"/>
    <w:uiPriority w:val="99"/>
    <w:semiHidden/>
    <w:rsid w:val="00072BBF"/>
    <w:rPr>
      <w:sz w:val="0"/>
      <w:szCs w:val="0"/>
      <w:lang w:val="en-GB"/>
    </w:rPr>
  </w:style>
  <w:style w:type="table" w:styleId="TableGrid">
    <w:name w:val="Table Grid"/>
    <w:basedOn w:val="TableNormal"/>
    <w:uiPriority w:val="99"/>
    <w:rsid w:val="0003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0C9"/>
    <w:pPr>
      <w:spacing w:after="200" w:line="276" w:lineRule="auto"/>
      <w:ind w:left="720"/>
      <w:contextualSpacing/>
    </w:pPr>
    <w:rPr>
      <w:rFonts w:ascii="Calibri" w:hAnsi="Calibri"/>
      <w:sz w:val="22"/>
      <w:szCs w:val="22"/>
    </w:rPr>
  </w:style>
  <w:style w:type="paragraph" w:styleId="Footer">
    <w:name w:val="footer"/>
    <w:basedOn w:val="Normal"/>
    <w:link w:val="FooterChar"/>
    <w:uiPriority w:val="99"/>
    <w:rsid w:val="00370778"/>
    <w:pPr>
      <w:tabs>
        <w:tab w:val="center" w:pos="4320"/>
        <w:tab w:val="right" w:pos="8640"/>
      </w:tabs>
    </w:pPr>
  </w:style>
  <w:style w:type="character" w:customStyle="1" w:styleId="FooterChar">
    <w:name w:val="Footer Char"/>
    <w:link w:val="Footer"/>
    <w:uiPriority w:val="99"/>
    <w:semiHidden/>
    <w:rsid w:val="00072BBF"/>
    <w:rPr>
      <w:sz w:val="20"/>
      <w:szCs w:val="20"/>
      <w:lang w:val="en-GB"/>
    </w:rPr>
  </w:style>
  <w:style w:type="character" w:styleId="PageNumber">
    <w:name w:val="page number"/>
    <w:uiPriority w:val="99"/>
    <w:rsid w:val="00370778"/>
    <w:rPr>
      <w:rFonts w:cs="Times New Roman"/>
    </w:rPr>
  </w:style>
  <w:style w:type="paragraph" w:styleId="Header">
    <w:name w:val="header"/>
    <w:basedOn w:val="Normal"/>
    <w:link w:val="HeaderChar"/>
    <w:uiPriority w:val="99"/>
    <w:rsid w:val="00665FAD"/>
    <w:pPr>
      <w:tabs>
        <w:tab w:val="center" w:pos="4320"/>
        <w:tab w:val="right" w:pos="8640"/>
      </w:tabs>
    </w:pPr>
  </w:style>
  <w:style w:type="character" w:customStyle="1" w:styleId="HeaderChar">
    <w:name w:val="Header Char"/>
    <w:link w:val="Header"/>
    <w:uiPriority w:val="99"/>
    <w:semiHidden/>
    <w:rsid w:val="00072BBF"/>
    <w:rPr>
      <w:sz w:val="20"/>
      <w:szCs w:val="20"/>
      <w:lang w:val="en-GB"/>
    </w:rPr>
  </w:style>
  <w:style w:type="character" w:styleId="Hyperlink">
    <w:name w:val="Hyperlink"/>
    <w:basedOn w:val="DefaultParagraphFont"/>
    <w:uiPriority w:val="99"/>
    <w:unhideWhenUsed/>
    <w:rsid w:val="00132535"/>
    <w:rPr>
      <w:color w:val="0000FF" w:themeColor="hyperlink"/>
      <w:u w:val="single"/>
    </w:rPr>
  </w:style>
  <w:style w:type="paragraph" w:customStyle="1" w:styleId="xmsonormal">
    <w:name w:val="x_msonormal"/>
    <w:basedOn w:val="Normal"/>
    <w:rsid w:val="00CF7AE9"/>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38"/>
    <w:rPr>
      <w:lang w:eastAsia="en-US"/>
    </w:rPr>
  </w:style>
  <w:style w:type="paragraph" w:styleId="Heading1">
    <w:name w:val="heading 1"/>
    <w:basedOn w:val="Normal"/>
    <w:next w:val="Normal"/>
    <w:link w:val="Heading1Char"/>
    <w:uiPriority w:val="99"/>
    <w:qFormat/>
    <w:rsid w:val="00A62838"/>
    <w:pPr>
      <w:keepNext/>
      <w:jc w:val="both"/>
      <w:outlineLvl w:val="0"/>
    </w:pPr>
    <w:rPr>
      <w:b/>
      <w:sz w:val="24"/>
      <w:lang w:val="en-US"/>
    </w:rPr>
  </w:style>
  <w:style w:type="paragraph" w:styleId="Heading2">
    <w:name w:val="heading 2"/>
    <w:basedOn w:val="Normal"/>
    <w:next w:val="Normal"/>
    <w:link w:val="Heading2Char"/>
    <w:uiPriority w:val="99"/>
    <w:qFormat/>
    <w:rsid w:val="00A62838"/>
    <w:pPr>
      <w:keepNext/>
      <w:ind w:left="720" w:hanging="720"/>
      <w:jc w:val="both"/>
      <w:outlineLvl w:val="1"/>
    </w:pPr>
    <w:rPr>
      <w:b/>
      <w:sz w:val="24"/>
      <w:u w:val="single"/>
    </w:rPr>
  </w:style>
  <w:style w:type="paragraph" w:styleId="Heading3">
    <w:name w:val="heading 3"/>
    <w:basedOn w:val="Normal"/>
    <w:next w:val="Normal"/>
    <w:link w:val="Heading3Char"/>
    <w:uiPriority w:val="99"/>
    <w:qFormat/>
    <w:rsid w:val="00A62838"/>
    <w:pPr>
      <w:keepNext/>
      <w:jc w:val="both"/>
      <w:outlineLvl w:val="2"/>
    </w:pPr>
    <w:rPr>
      <w:b/>
      <w:sz w:val="24"/>
      <w:u w:val="single"/>
    </w:rPr>
  </w:style>
  <w:style w:type="paragraph" w:styleId="Heading4">
    <w:name w:val="heading 4"/>
    <w:basedOn w:val="Normal"/>
    <w:next w:val="Normal"/>
    <w:link w:val="Heading4Char"/>
    <w:uiPriority w:val="99"/>
    <w:qFormat/>
    <w:rsid w:val="00A62838"/>
    <w:pPr>
      <w:keepNext/>
      <w:ind w:left="720" w:hanging="720"/>
      <w:jc w:val="both"/>
      <w:outlineLvl w:val="3"/>
    </w:pPr>
    <w:rPr>
      <w:b/>
      <w:sz w:val="24"/>
    </w:rPr>
  </w:style>
  <w:style w:type="paragraph" w:styleId="Heading5">
    <w:name w:val="heading 5"/>
    <w:basedOn w:val="Normal"/>
    <w:next w:val="Normal"/>
    <w:link w:val="Heading5Char"/>
    <w:uiPriority w:val="99"/>
    <w:qFormat/>
    <w:rsid w:val="00A62838"/>
    <w:pPr>
      <w:keepNext/>
      <w:ind w:left="720" w:hanging="720"/>
      <w:jc w:val="center"/>
      <w:outlineLvl w:val="4"/>
    </w:pPr>
    <w:rPr>
      <w:b/>
      <w:sz w:val="24"/>
      <w:u w:val="single"/>
    </w:rPr>
  </w:style>
  <w:style w:type="paragraph" w:styleId="Heading6">
    <w:name w:val="heading 6"/>
    <w:basedOn w:val="Normal"/>
    <w:next w:val="Normal"/>
    <w:link w:val="Heading6Char"/>
    <w:uiPriority w:val="99"/>
    <w:qFormat/>
    <w:rsid w:val="00A62838"/>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2BBF"/>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072BBF"/>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072BBF"/>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072BBF"/>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072BBF"/>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072BBF"/>
    <w:rPr>
      <w:rFonts w:ascii="Calibri" w:eastAsia="Times New Roman" w:hAnsi="Calibri" w:cs="Times New Roman"/>
      <w:b/>
      <w:bCs/>
      <w:lang w:val="en-GB"/>
    </w:rPr>
  </w:style>
  <w:style w:type="paragraph" w:styleId="List">
    <w:name w:val="List"/>
    <w:basedOn w:val="Normal"/>
    <w:uiPriority w:val="99"/>
    <w:rsid w:val="00A62838"/>
    <w:pPr>
      <w:ind w:left="360" w:hanging="360"/>
    </w:pPr>
    <w:rPr>
      <w:sz w:val="24"/>
      <w:lang w:val="en-US"/>
    </w:rPr>
  </w:style>
  <w:style w:type="paragraph" w:styleId="BodyText">
    <w:name w:val="Body Text"/>
    <w:basedOn w:val="Normal"/>
    <w:link w:val="BodyTextChar"/>
    <w:uiPriority w:val="99"/>
    <w:rsid w:val="00A62838"/>
    <w:pPr>
      <w:tabs>
        <w:tab w:val="left" w:pos="1440"/>
      </w:tabs>
      <w:jc w:val="both"/>
    </w:pPr>
    <w:rPr>
      <w:sz w:val="24"/>
    </w:rPr>
  </w:style>
  <w:style w:type="character" w:customStyle="1" w:styleId="BodyTextChar">
    <w:name w:val="Body Text Char"/>
    <w:link w:val="BodyText"/>
    <w:uiPriority w:val="99"/>
    <w:semiHidden/>
    <w:rsid w:val="00072BBF"/>
    <w:rPr>
      <w:sz w:val="20"/>
      <w:szCs w:val="20"/>
      <w:lang w:val="en-GB"/>
    </w:rPr>
  </w:style>
  <w:style w:type="paragraph" w:styleId="List2">
    <w:name w:val="List 2"/>
    <w:basedOn w:val="Normal"/>
    <w:uiPriority w:val="99"/>
    <w:rsid w:val="00A62838"/>
    <w:pPr>
      <w:ind w:left="720" w:hanging="360"/>
    </w:pPr>
    <w:rPr>
      <w:sz w:val="24"/>
      <w:lang w:val="en-US"/>
    </w:rPr>
  </w:style>
  <w:style w:type="paragraph" w:styleId="List3">
    <w:name w:val="List 3"/>
    <w:basedOn w:val="Normal"/>
    <w:uiPriority w:val="99"/>
    <w:rsid w:val="00A62838"/>
    <w:pPr>
      <w:ind w:left="1080" w:hanging="360"/>
    </w:pPr>
    <w:rPr>
      <w:sz w:val="24"/>
      <w:lang w:val="en-US"/>
    </w:rPr>
  </w:style>
  <w:style w:type="paragraph" w:styleId="BodyTextIndent">
    <w:name w:val="Body Text Indent"/>
    <w:basedOn w:val="Normal"/>
    <w:link w:val="BodyTextIndentChar"/>
    <w:rsid w:val="00A62838"/>
    <w:pPr>
      <w:ind w:left="567" w:hanging="567"/>
      <w:jc w:val="both"/>
    </w:pPr>
    <w:rPr>
      <w:sz w:val="24"/>
    </w:rPr>
  </w:style>
  <w:style w:type="character" w:customStyle="1" w:styleId="BodyTextIndentChar">
    <w:name w:val="Body Text Indent Char"/>
    <w:link w:val="BodyTextIndent"/>
    <w:locked/>
    <w:rsid w:val="006E5EB4"/>
    <w:rPr>
      <w:rFonts w:cs="Times New Roman"/>
      <w:sz w:val="24"/>
      <w:lang w:eastAsia="en-US"/>
    </w:rPr>
  </w:style>
  <w:style w:type="paragraph" w:styleId="BalloonText">
    <w:name w:val="Balloon Text"/>
    <w:basedOn w:val="Normal"/>
    <w:link w:val="BalloonTextChar"/>
    <w:uiPriority w:val="99"/>
    <w:semiHidden/>
    <w:rsid w:val="00BB77CC"/>
    <w:rPr>
      <w:rFonts w:ascii="Tahoma" w:hAnsi="Tahoma" w:cs="Tahoma"/>
      <w:sz w:val="16"/>
      <w:szCs w:val="16"/>
    </w:rPr>
  </w:style>
  <w:style w:type="character" w:customStyle="1" w:styleId="BalloonTextChar">
    <w:name w:val="Balloon Text Char"/>
    <w:link w:val="BalloonText"/>
    <w:uiPriority w:val="99"/>
    <w:semiHidden/>
    <w:rsid w:val="00072BBF"/>
    <w:rPr>
      <w:sz w:val="0"/>
      <w:szCs w:val="0"/>
      <w:lang w:val="en-GB"/>
    </w:rPr>
  </w:style>
  <w:style w:type="table" w:styleId="TableGrid">
    <w:name w:val="Table Grid"/>
    <w:basedOn w:val="TableNormal"/>
    <w:uiPriority w:val="99"/>
    <w:rsid w:val="0003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0C9"/>
    <w:pPr>
      <w:spacing w:after="200" w:line="276" w:lineRule="auto"/>
      <w:ind w:left="720"/>
      <w:contextualSpacing/>
    </w:pPr>
    <w:rPr>
      <w:rFonts w:ascii="Calibri" w:hAnsi="Calibri"/>
      <w:sz w:val="22"/>
      <w:szCs w:val="22"/>
    </w:rPr>
  </w:style>
  <w:style w:type="paragraph" w:styleId="Footer">
    <w:name w:val="footer"/>
    <w:basedOn w:val="Normal"/>
    <w:link w:val="FooterChar"/>
    <w:uiPriority w:val="99"/>
    <w:rsid w:val="00370778"/>
    <w:pPr>
      <w:tabs>
        <w:tab w:val="center" w:pos="4320"/>
        <w:tab w:val="right" w:pos="8640"/>
      </w:tabs>
    </w:pPr>
  </w:style>
  <w:style w:type="character" w:customStyle="1" w:styleId="FooterChar">
    <w:name w:val="Footer Char"/>
    <w:link w:val="Footer"/>
    <w:uiPriority w:val="99"/>
    <w:semiHidden/>
    <w:rsid w:val="00072BBF"/>
    <w:rPr>
      <w:sz w:val="20"/>
      <w:szCs w:val="20"/>
      <w:lang w:val="en-GB"/>
    </w:rPr>
  </w:style>
  <w:style w:type="character" w:styleId="PageNumber">
    <w:name w:val="page number"/>
    <w:uiPriority w:val="99"/>
    <w:rsid w:val="00370778"/>
    <w:rPr>
      <w:rFonts w:cs="Times New Roman"/>
    </w:rPr>
  </w:style>
  <w:style w:type="paragraph" w:styleId="Header">
    <w:name w:val="header"/>
    <w:basedOn w:val="Normal"/>
    <w:link w:val="HeaderChar"/>
    <w:uiPriority w:val="99"/>
    <w:rsid w:val="00665FAD"/>
    <w:pPr>
      <w:tabs>
        <w:tab w:val="center" w:pos="4320"/>
        <w:tab w:val="right" w:pos="8640"/>
      </w:tabs>
    </w:pPr>
  </w:style>
  <w:style w:type="character" w:customStyle="1" w:styleId="HeaderChar">
    <w:name w:val="Header Char"/>
    <w:link w:val="Header"/>
    <w:uiPriority w:val="99"/>
    <w:semiHidden/>
    <w:rsid w:val="00072BBF"/>
    <w:rPr>
      <w:sz w:val="20"/>
      <w:szCs w:val="20"/>
      <w:lang w:val="en-GB"/>
    </w:rPr>
  </w:style>
  <w:style w:type="character" w:styleId="Hyperlink">
    <w:name w:val="Hyperlink"/>
    <w:basedOn w:val="DefaultParagraphFont"/>
    <w:uiPriority w:val="99"/>
    <w:unhideWhenUsed/>
    <w:rsid w:val="00132535"/>
    <w:rPr>
      <w:color w:val="0000FF" w:themeColor="hyperlink"/>
      <w:u w:val="single"/>
    </w:rPr>
  </w:style>
  <w:style w:type="paragraph" w:customStyle="1" w:styleId="xmsonormal">
    <w:name w:val="x_msonormal"/>
    <w:basedOn w:val="Normal"/>
    <w:rsid w:val="00CF7AE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764">
      <w:bodyDiv w:val="1"/>
      <w:marLeft w:val="0"/>
      <w:marRight w:val="0"/>
      <w:marTop w:val="0"/>
      <w:marBottom w:val="0"/>
      <w:divBdr>
        <w:top w:val="none" w:sz="0" w:space="0" w:color="auto"/>
        <w:left w:val="none" w:sz="0" w:space="0" w:color="auto"/>
        <w:bottom w:val="none" w:sz="0" w:space="0" w:color="auto"/>
        <w:right w:val="none" w:sz="0" w:space="0" w:color="auto"/>
      </w:divBdr>
    </w:div>
    <w:div w:id="167525148">
      <w:marLeft w:val="0"/>
      <w:marRight w:val="0"/>
      <w:marTop w:val="0"/>
      <w:marBottom w:val="0"/>
      <w:divBdr>
        <w:top w:val="none" w:sz="0" w:space="0" w:color="auto"/>
        <w:left w:val="none" w:sz="0" w:space="0" w:color="auto"/>
        <w:bottom w:val="none" w:sz="0" w:space="0" w:color="auto"/>
        <w:right w:val="none" w:sz="0" w:space="0" w:color="auto"/>
      </w:divBdr>
    </w:div>
    <w:div w:id="167525149">
      <w:marLeft w:val="0"/>
      <w:marRight w:val="0"/>
      <w:marTop w:val="0"/>
      <w:marBottom w:val="0"/>
      <w:divBdr>
        <w:top w:val="none" w:sz="0" w:space="0" w:color="auto"/>
        <w:left w:val="none" w:sz="0" w:space="0" w:color="auto"/>
        <w:bottom w:val="none" w:sz="0" w:space="0" w:color="auto"/>
        <w:right w:val="none" w:sz="0" w:space="0" w:color="auto"/>
      </w:divBdr>
    </w:div>
    <w:div w:id="167525150">
      <w:marLeft w:val="0"/>
      <w:marRight w:val="0"/>
      <w:marTop w:val="0"/>
      <w:marBottom w:val="0"/>
      <w:divBdr>
        <w:top w:val="none" w:sz="0" w:space="0" w:color="auto"/>
        <w:left w:val="none" w:sz="0" w:space="0" w:color="auto"/>
        <w:bottom w:val="none" w:sz="0" w:space="0" w:color="auto"/>
        <w:right w:val="none" w:sz="0" w:space="0" w:color="auto"/>
      </w:divBdr>
    </w:div>
    <w:div w:id="167525151">
      <w:marLeft w:val="0"/>
      <w:marRight w:val="0"/>
      <w:marTop w:val="0"/>
      <w:marBottom w:val="0"/>
      <w:divBdr>
        <w:top w:val="none" w:sz="0" w:space="0" w:color="auto"/>
        <w:left w:val="none" w:sz="0" w:space="0" w:color="auto"/>
        <w:bottom w:val="none" w:sz="0" w:space="0" w:color="auto"/>
        <w:right w:val="none" w:sz="0" w:space="0" w:color="auto"/>
      </w:divBdr>
    </w:div>
    <w:div w:id="167525152">
      <w:marLeft w:val="0"/>
      <w:marRight w:val="0"/>
      <w:marTop w:val="0"/>
      <w:marBottom w:val="0"/>
      <w:divBdr>
        <w:top w:val="none" w:sz="0" w:space="0" w:color="auto"/>
        <w:left w:val="none" w:sz="0" w:space="0" w:color="auto"/>
        <w:bottom w:val="none" w:sz="0" w:space="0" w:color="auto"/>
        <w:right w:val="none" w:sz="0" w:space="0" w:color="auto"/>
      </w:divBdr>
    </w:div>
    <w:div w:id="345910503">
      <w:bodyDiv w:val="1"/>
      <w:marLeft w:val="0"/>
      <w:marRight w:val="0"/>
      <w:marTop w:val="0"/>
      <w:marBottom w:val="0"/>
      <w:divBdr>
        <w:top w:val="none" w:sz="0" w:space="0" w:color="auto"/>
        <w:left w:val="none" w:sz="0" w:space="0" w:color="auto"/>
        <w:bottom w:val="none" w:sz="0" w:space="0" w:color="auto"/>
        <w:right w:val="none" w:sz="0" w:space="0" w:color="auto"/>
      </w:divBdr>
    </w:div>
    <w:div w:id="487751323">
      <w:bodyDiv w:val="1"/>
      <w:marLeft w:val="0"/>
      <w:marRight w:val="0"/>
      <w:marTop w:val="0"/>
      <w:marBottom w:val="0"/>
      <w:divBdr>
        <w:top w:val="none" w:sz="0" w:space="0" w:color="auto"/>
        <w:left w:val="none" w:sz="0" w:space="0" w:color="auto"/>
        <w:bottom w:val="none" w:sz="0" w:space="0" w:color="auto"/>
        <w:right w:val="none" w:sz="0" w:space="0" w:color="auto"/>
      </w:divBdr>
    </w:div>
    <w:div w:id="1037464817">
      <w:bodyDiv w:val="1"/>
      <w:marLeft w:val="0"/>
      <w:marRight w:val="0"/>
      <w:marTop w:val="0"/>
      <w:marBottom w:val="0"/>
      <w:divBdr>
        <w:top w:val="none" w:sz="0" w:space="0" w:color="auto"/>
        <w:left w:val="none" w:sz="0" w:space="0" w:color="auto"/>
        <w:bottom w:val="none" w:sz="0" w:space="0" w:color="auto"/>
        <w:right w:val="none" w:sz="0" w:space="0" w:color="auto"/>
      </w:divBdr>
    </w:div>
    <w:div w:id="1121680363">
      <w:bodyDiv w:val="1"/>
      <w:marLeft w:val="0"/>
      <w:marRight w:val="0"/>
      <w:marTop w:val="0"/>
      <w:marBottom w:val="0"/>
      <w:divBdr>
        <w:top w:val="none" w:sz="0" w:space="0" w:color="auto"/>
        <w:left w:val="none" w:sz="0" w:space="0" w:color="auto"/>
        <w:bottom w:val="none" w:sz="0" w:space="0" w:color="auto"/>
        <w:right w:val="none" w:sz="0" w:space="0" w:color="auto"/>
      </w:divBdr>
    </w:div>
    <w:div w:id="1182863604">
      <w:bodyDiv w:val="1"/>
      <w:marLeft w:val="0"/>
      <w:marRight w:val="0"/>
      <w:marTop w:val="0"/>
      <w:marBottom w:val="0"/>
      <w:divBdr>
        <w:top w:val="none" w:sz="0" w:space="0" w:color="auto"/>
        <w:left w:val="none" w:sz="0" w:space="0" w:color="auto"/>
        <w:bottom w:val="none" w:sz="0" w:space="0" w:color="auto"/>
        <w:right w:val="none" w:sz="0" w:space="0" w:color="auto"/>
      </w:divBdr>
    </w:div>
    <w:div w:id="1452287288">
      <w:bodyDiv w:val="1"/>
      <w:marLeft w:val="0"/>
      <w:marRight w:val="0"/>
      <w:marTop w:val="0"/>
      <w:marBottom w:val="0"/>
      <w:divBdr>
        <w:top w:val="none" w:sz="0" w:space="0" w:color="auto"/>
        <w:left w:val="none" w:sz="0" w:space="0" w:color="auto"/>
        <w:bottom w:val="none" w:sz="0" w:space="0" w:color="auto"/>
        <w:right w:val="none" w:sz="0" w:space="0" w:color="auto"/>
      </w:divBdr>
    </w:div>
    <w:div w:id="1461026679">
      <w:bodyDiv w:val="1"/>
      <w:marLeft w:val="0"/>
      <w:marRight w:val="0"/>
      <w:marTop w:val="0"/>
      <w:marBottom w:val="0"/>
      <w:divBdr>
        <w:top w:val="none" w:sz="0" w:space="0" w:color="auto"/>
        <w:left w:val="none" w:sz="0" w:space="0" w:color="auto"/>
        <w:bottom w:val="none" w:sz="0" w:space="0" w:color="auto"/>
        <w:right w:val="none" w:sz="0" w:space="0" w:color="auto"/>
      </w:divBdr>
    </w:div>
    <w:div w:id="1477600618">
      <w:bodyDiv w:val="1"/>
      <w:marLeft w:val="0"/>
      <w:marRight w:val="0"/>
      <w:marTop w:val="0"/>
      <w:marBottom w:val="0"/>
      <w:divBdr>
        <w:top w:val="none" w:sz="0" w:space="0" w:color="auto"/>
        <w:left w:val="none" w:sz="0" w:space="0" w:color="auto"/>
        <w:bottom w:val="none" w:sz="0" w:space="0" w:color="auto"/>
        <w:right w:val="none" w:sz="0" w:space="0" w:color="auto"/>
      </w:divBdr>
    </w:div>
    <w:div w:id="15145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9236C-5FD0-47E9-A7ED-FCA6A0C9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To:</vt:lpstr>
    </vt:vector>
  </TitlesOfParts>
  <Company>Gateway</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Lorna Gowdie</dc:creator>
  <cp:lastModifiedBy>Sharon McGarvey</cp:lastModifiedBy>
  <cp:revision>5</cp:revision>
  <cp:lastPrinted>2021-05-14T09:01:00Z</cp:lastPrinted>
  <dcterms:created xsi:type="dcterms:W3CDTF">2022-02-10T06:55:00Z</dcterms:created>
  <dcterms:modified xsi:type="dcterms:W3CDTF">2022-02-10T13:34:00Z</dcterms:modified>
</cp:coreProperties>
</file>