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343F" w14:textId="77777777" w:rsidR="002D3E9B" w:rsidRPr="00A5336A" w:rsidRDefault="00B80567" w:rsidP="00846E1D">
      <w:pPr>
        <w:jc w:val="center"/>
        <w:rPr>
          <w:rFonts w:ascii="Arial" w:hAnsi="Arial" w:cs="Arial"/>
          <w:b/>
          <w:sz w:val="32"/>
          <w:szCs w:val="32"/>
        </w:rPr>
      </w:pPr>
      <w:r>
        <w:rPr>
          <w:rFonts w:ascii="Arial" w:hAnsi="Arial" w:cs="Arial"/>
          <w:b/>
          <w:sz w:val="32"/>
          <w:szCs w:val="32"/>
        </w:rPr>
        <w:t xml:space="preserve">CX </w:t>
      </w:r>
      <w:r w:rsidR="002D3E9B" w:rsidRPr="00A5336A">
        <w:rPr>
          <w:rFonts w:ascii="Arial" w:hAnsi="Arial" w:cs="Arial"/>
          <w:b/>
          <w:sz w:val="32"/>
          <w:szCs w:val="32"/>
        </w:rPr>
        <w:t>PAISLEY HOUSING ASSOCIATION</w:t>
      </w:r>
    </w:p>
    <w:p w14:paraId="7E83001E" w14:textId="77777777" w:rsidR="002D3E9B" w:rsidRPr="00E41312" w:rsidRDefault="007169BB" w:rsidP="00E41312">
      <w:pPr>
        <w:jc w:val="center"/>
        <w:rPr>
          <w:rFonts w:ascii="Arial" w:hAnsi="Arial" w:cs="Arial"/>
          <w:b/>
          <w:sz w:val="32"/>
          <w:szCs w:val="32"/>
        </w:rPr>
      </w:pPr>
      <w:r>
        <w:rPr>
          <w:rFonts w:ascii="Arial" w:hAnsi="Arial" w:cs="Arial"/>
          <w:b/>
          <w:sz w:val="32"/>
          <w:szCs w:val="32"/>
        </w:rPr>
        <w:t xml:space="preserve">BOARD </w:t>
      </w:r>
      <w:r w:rsidR="00846E1D">
        <w:rPr>
          <w:rFonts w:ascii="Arial" w:hAnsi="Arial" w:cs="Arial"/>
          <w:b/>
          <w:sz w:val="32"/>
          <w:szCs w:val="32"/>
        </w:rPr>
        <w:t>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3041"/>
        <w:gridCol w:w="1330"/>
        <w:gridCol w:w="3345"/>
      </w:tblGrid>
      <w:tr w:rsidR="002D3E9B" w:rsidRPr="0065734F" w14:paraId="6A86B7B1" w14:textId="77777777" w:rsidTr="00E41312">
        <w:tc>
          <w:tcPr>
            <w:tcW w:w="874" w:type="pct"/>
          </w:tcPr>
          <w:p w14:paraId="02A877B0" w14:textId="77777777" w:rsidR="002D3E9B" w:rsidRPr="0081745D" w:rsidRDefault="002D3E9B" w:rsidP="00E41312">
            <w:pPr>
              <w:spacing w:before="240"/>
              <w:rPr>
                <w:rFonts w:ascii="Arial" w:hAnsi="Arial" w:cs="Arial"/>
                <w:b/>
              </w:rPr>
            </w:pPr>
            <w:r w:rsidRPr="0081745D">
              <w:rPr>
                <w:rFonts w:ascii="Arial" w:hAnsi="Arial" w:cs="Arial"/>
                <w:b/>
              </w:rPr>
              <w:t>MEETING</w:t>
            </w:r>
          </w:p>
        </w:tc>
        <w:tc>
          <w:tcPr>
            <w:tcW w:w="1626" w:type="pct"/>
            <w:vAlign w:val="center"/>
          </w:tcPr>
          <w:p w14:paraId="140446EC" w14:textId="16D12277" w:rsidR="002D3E9B" w:rsidRPr="0081745D" w:rsidRDefault="007169BB" w:rsidP="00E41312">
            <w:pPr>
              <w:spacing w:before="240"/>
              <w:rPr>
                <w:rFonts w:ascii="Arial" w:hAnsi="Arial" w:cs="Arial"/>
              </w:rPr>
            </w:pPr>
            <w:r>
              <w:rPr>
                <w:rFonts w:ascii="Arial" w:hAnsi="Arial" w:cs="Arial"/>
              </w:rPr>
              <w:t>Board</w:t>
            </w:r>
          </w:p>
        </w:tc>
        <w:tc>
          <w:tcPr>
            <w:tcW w:w="711" w:type="pct"/>
            <w:vAlign w:val="center"/>
          </w:tcPr>
          <w:p w14:paraId="0321971E" w14:textId="77777777" w:rsidR="002D3E9B" w:rsidRPr="0081745D" w:rsidRDefault="002D3E9B" w:rsidP="00E41312">
            <w:pPr>
              <w:spacing w:before="240"/>
              <w:rPr>
                <w:rFonts w:ascii="Arial" w:hAnsi="Arial" w:cs="Arial"/>
                <w:b/>
              </w:rPr>
            </w:pPr>
            <w:r w:rsidRPr="0081745D">
              <w:rPr>
                <w:rFonts w:ascii="Arial" w:hAnsi="Arial" w:cs="Arial"/>
                <w:b/>
              </w:rPr>
              <w:t>DATE</w:t>
            </w:r>
          </w:p>
        </w:tc>
        <w:tc>
          <w:tcPr>
            <w:tcW w:w="1789" w:type="pct"/>
            <w:vAlign w:val="center"/>
          </w:tcPr>
          <w:p w14:paraId="3AAF1A0A" w14:textId="3E808A62" w:rsidR="002D3E9B" w:rsidRPr="0081745D" w:rsidRDefault="00F5072E" w:rsidP="00574CD9">
            <w:pPr>
              <w:spacing w:before="240"/>
              <w:rPr>
                <w:rFonts w:ascii="Arial" w:hAnsi="Arial" w:cs="Arial"/>
              </w:rPr>
            </w:pPr>
            <w:r>
              <w:rPr>
                <w:rFonts w:ascii="Arial" w:hAnsi="Arial" w:cs="Arial"/>
              </w:rPr>
              <w:t>21/2/22</w:t>
            </w:r>
          </w:p>
        </w:tc>
      </w:tr>
      <w:tr w:rsidR="002D3E9B" w:rsidRPr="0065734F" w14:paraId="484156F3" w14:textId="77777777" w:rsidTr="00E41312">
        <w:tc>
          <w:tcPr>
            <w:tcW w:w="874" w:type="pct"/>
          </w:tcPr>
          <w:p w14:paraId="4D41EBC6" w14:textId="77777777" w:rsidR="002D3E9B" w:rsidRPr="0081745D" w:rsidRDefault="002D3E9B" w:rsidP="00E41312">
            <w:pPr>
              <w:spacing w:before="240"/>
              <w:rPr>
                <w:rFonts w:ascii="Arial" w:hAnsi="Arial" w:cs="Arial"/>
                <w:b/>
              </w:rPr>
            </w:pPr>
            <w:r w:rsidRPr="0081745D">
              <w:rPr>
                <w:rFonts w:ascii="Arial" w:hAnsi="Arial" w:cs="Arial"/>
                <w:b/>
              </w:rPr>
              <w:t>AGENDA NO</w:t>
            </w:r>
          </w:p>
        </w:tc>
        <w:tc>
          <w:tcPr>
            <w:tcW w:w="1626" w:type="pct"/>
            <w:vAlign w:val="center"/>
          </w:tcPr>
          <w:p w14:paraId="74FEE909" w14:textId="6971A714" w:rsidR="002D3E9B" w:rsidRPr="0031622B" w:rsidRDefault="00336B8E" w:rsidP="00E41312">
            <w:pPr>
              <w:spacing w:before="240"/>
              <w:rPr>
                <w:rFonts w:ascii="Arial" w:hAnsi="Arial" w:cs="Arial"/>
              </w:rPr>
            </w:pPr>
            <w:r>
              <w:rPr>
                <w:rFonts w:ascii="Arial" w:hAnsi="Arial" w:cs="Arial"/>
              </w:rPr>
              <w:t>5</w:t>
            </w:r>
          </w:p>
        </w:tc>
        <w:tc>
          <w:tcPr>
            <w:tcW w:w="711" w:type="pct"/>
            <w:vAlign w:val="center"/>
          </w:tcPr>
          <w:p w14:paraId="723F03DD" w14:textId="77777777" w:rsidR="002D3E9B" w:rsidRPr="0081745D" w:rsidRDefault="002D3E9B" w:rsidP="00E41312">
            <w:pPr>
              <w:spacing w:before="240"/>
              <w:rPr>
                <w:rFonts w:ascii="Arial" w:hAnsi="Arial" w:cs="Arial"/>
                <w:b/>
              </w:rPr>
            </w:pPr>
            <w:r w:rsidRPr="0081745D">
              <w:rPr>
                <w:rFonts w:ascii="Arial" w:hAnsi="Arial" w:cs="Arial"/>
                <w:b/>
              </w:rPr>
              <w:t>TITLE OF REPORT</w:t>
            </w:r>
          </w:p>
        </w:tc>
        <w:tc>
          <w:tcPr>
            <w:tcW w:w="1789" w:type="pct"/>
            <w:vAlign w:val="center"/>
          </w:tcPr>
          <w:p w14:paraId="76843064" w14:textId="77777777" w:rsidR="002D3E9B" w:rsidRPr="0081745D" w:rsidRDefault="0052220B" w:rsidP="00F03A76">
            <w:pPr>
              <w:spacing w:before="240"/>
              <w:rPr>
                <w:rFonts w:ascii="Arial" w:hAnsi="Arial" w:cs="Arial"/>
              </w:rPr>
            </w:pPr>
            <w:r w:rsidRPr="0081745D">
              <w:rPr>
                <w:rFonts w:ascii="Arial" w:hAnsi="Arial" w:cs="Arial"/>
              </w:rPr>
              <w:t>CX</w:t>
            </w:r>
            <w:r w:rsidR="00DC1FFD" w:rsidRPr="0081745D">
              <w:rPr>
                <w:rFonts w:ascii="Arial" w:hAnsi="Arial" w:cs="Arial"/>
              </w:rPr>
              <w:t xml:space="preserve"> Implementation Report </w:t>
            </w:r>
            <w:proofErr w:type="gramStart"/>
            <w:r w:rsidR="00DC1FFD" w:rsidRPr="0081745D">
              <w:rPr>
                <w:rFonts w:ascii="Arial" w:hAnsi="Arial" w:cs="Arial"/>
              </w:rPr>
              <w:t xml:space="preserve">– </w:t>
            </w:r>
            <w:r w:rsidR="00D31336" w:rsidRPr="0081745D">
              <w:rPr>
                <w:rFonts w:ascii="Arial" w:hAnsi="Arial" w:cs="Arial"/>
              </w:rPr>
              <w:t xml:space="preserve"> </w:t>
            </w:r>
            <w:r w:rsidR="00F03A76">
              <w:rPr>
                <w:rFonts w:ascii="Arial" w:hAnsi="Arial" w:cs="Arial"/>
              </w:rPr>
              <w:t>Update</w:t>
            </w:r>
            <w:proofErr w:type="gramEnd"/>
          </w:p>
        </w:tc>
      </w:tr>
      <w:tr w:rsidR="002D3E9B" w:rsidRPr="0065734F" w14:paraId="2DA9C119" w14:textId="77777777" w:rsidTr="00E41312">
        <w:tc>
          <w:tcPr>
            <w:tcW w:w="874" w:type="pct"/>
          </w:tcPr>
          <w:p w14:paraId="0DB19467" w14:textId="77777777" w:rsidR="002D3E9B" w:rsidRPr="0081745D" w:rsidRDefault="002D3E9B" w:rsidP="00E41312">
            <w:pPr>
              <w:spacing w:before="240"/>
              <w:rPr>
                <w:rFonts w:ascii="Arial" w:hAnsi="Arial" w:cs="Arial"/>
                <w:b/>
              </w:rPr>
            </w:pPr>
            <w:r w:rsidRPr="0081745D">
              <w:rPr>
                <w:rFonts w:ascii="Arial" w:hAnsi="Arial" w:cs="Arial"/>
                <w:b/>
              </w:rPr>
              <w:t>AUTHOR</w:t>
            </w:r>
          </w:p>
        </w:tc>
        <w:tc>
          <w:tcPr>
            <w:tcW w:w="1626" w:type="pct"/>
            <w:vAlign w:val="center"/>
          </w:tcPr>
          <w:p w14:paraId="7096EB03" w14:textId="77777777" w:rsidR="002D3E9B" w:rsidRPr="0081745D" w:rsidRDefault="001C3408" w:rsidP="00E41312">
            <w:pPr>
              <w:spacing w:before="240"/>
              <w:rPr>
                <w:rFonts w:ascii="Arial" w:hAnsi="Arial" w:cs="Arial"/>
              </w:rPr>
            </w:pPr>
            <w:r>
              <w:rPr>
                <w:rFonts w:ascii="Arial" w:hAnsi="Arial" w:cs="Arial"/>
              </w:rPr>
              <w:t xml:space="preserve">Head of </w:t>
            </w:r>
            <w:r w:rsidR="00DC1FFD" w:rsidRPr="0081745D">
              <w:rPr>
                <w:rFonts w:ascii="Arial" w:hAnsi="Arial" w:cs="Arial"/>
              </w:rPr>
              <w:t xml:space="preserve">Finance </w:t>
            </w:r>
            <w:r>
              <w:rPr>
                <w:rFonts w:ascii="Arial" w:hAnsi="Arial" w:cs="Arial"/>
              </w:rPr>
              <w:t>&amp; IT</w:t>
            </w:r>
          </w:p>
        </w:tc>
        <w:tc>
          <w:tcPr>
            <w:tcW w:w="711" w:type="pct"/>
            <w:vAlign w:val="center"/>
          </w:tcPr>
          <w:p w14:paraId="68C2C9C0" w14:textId="77777777" w:rsidR="002D3E9B" w:rsidRPr="0081745D" w:rsidRDefault="002D3E9B" w:rsidP="00E41312">
            <w:pPr>
              <w:spacing w:before="240"/>
              <w:rPr>
                <w:rFonts w:ascii="Arial" w:hAnsi="Arial" w:cs="Arial"/>
              </w:rPr>
            </w:pPr>
          </w:p>
        </w:tc>
        <w:tc>
          <w:tcPr>
            <w:tcW w:w="1789" w:type="pct"/>
            <w:vAlign w:val="center"/>
          </w:tcPr>
          <w:p w14:paraId="13C2A7BD" w14:textId="77777777" w:rsidR="002D3E9B" w:rsidRPr="0081745D" w:rsidRDefault="002D3E9B" w:rsidP="00E41312">
            <w:pPr>
              <w:spacing w:before="240"/>
              <w:rPr>
                <w:rFonts w:ascii="Arial" w:hAnsi="Arial" w:cs="Arial"/>
              </w:rPr>
            </w:pPr>
          </w:p>
        </w:tc>
      </w:tr>
    </w:tbl>
    <w:p w14:paraId="6461A1D7" w14:textId="77777777" w:rsidR="002D3E9B" w:rsidRDefault="002D3E9B" w:rsidP="002D3E9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61"/>
      </w:tblGrid>
      <w:tr w:rsidR="008D76A0" w:rsidRPr="0065734F" w14:paraId="2FD632DF" w14:textId="77777777" w:rsidTr="0081745D">
        <w:trPr>
          <w:trHeight w:val="591"/>
        </w:trPr>
        <w:tc>
          <w:tcPr>
            <w:tcW w:w="1759" w:type="pct"/>
            <w:vAlign w:val="center"/>
          </w:tcPr>
          <w:p w14:paraId="108A9312" w14:textId="77777777" w:rsidR="002D3E9B" w:rsidRPr="00011A37" w:rsidRDefault="002D3E9B" w:rsidP="0081745D">
            <w:pPr>
              <w:pStyle w:val="NoSpacing"/>
              <w:rPr>
                <w:rFonts w:ascii="Arial" w:hAnsi="Arial" w:cs="Arial"/>
                <w:b/>
                <w:sz w:val="24"/>
                <w:szCs w:val="24"/>
              </w:rPr>
            </w:pPr>
            <w:r w:rsidRPr="00011A37">
              <w:rPr>
                <w:rFonts w:ascii="Arial" w:hAnsi="Arial" w:cs="Arial"/>
                <w:b/>
                <w:sz w:val="24"/>
                <w:szCs w:val="24"/>
              </w:rPr>
              <w:t xml:space="preserve">Recommendations </w:t>
            </w:r>
          </w:p>
        </w:tc>
        <w:tc>
          <w:tcPr>
            <w:tcW w:w="3241" w:type="pct"/>
            <w:vAlign w:val="center"/>
          </w:tcPr>
          <w:p w14:paraId="2F38C479" w14:textId="77777777" w:rsidR="002D3E9B" w:rsidRPr="00011A37" w:rsidRDefault="003B15DF" w:rsidP="00F03A76">
            <w:pPr>
              <w:pStyle w:val="NoSpacing"/>
              <w:rPr>
                <w:rFonts w:ascii="Arial" w:hAnsi="Arial" w:cs="Arial"/>
                <w:sz w:val="24"/>
                <w:szCs w:val="24"/>
              </w:rPr>
            </w:pPr>
            <w:r w:rsidRPr="00F03A76">
              <w:rPr>
                <w:rFonts w:ascii="Arial" w:hAnsi="Arial" w:cs="Arial"/>
                <w:sz w:val="24"/>
                <w:szCs w:val="24"/>
              </w:rPr>
              <w:t xml:space="preserve">The Board </w:t>
            </w:r>
            <w:r w:rsidR="00F03A76" w:rsidRPr="00F03A76">
              <w:rPr>
                <w:rFonts w:ascii="Arial" w:hAnsi="Arial" w:cs="Arial"/>
                <w:sz w:val="24"/>
                <w:szCs w:val="24"/>
              </w:rPr>
              <w:t>note the report.</w:t>
            </w:r>
          </w:p>
        </w:tc>
      </w:tr>
      <w:tr w:rsidR="008D76A0" w:rsidRPr="0065734F" w14:paraId="171062E7" w14:textId="77777777" w:rsidTr="00E41312">
        <w:tc>
          <w:tcPr>
            <w:tcW w:w="1759" w:type="pct"/>
            <w:vAlign w:val="center"/>
          </w:tcPr>
          <w:p w14:paraId="476A517B" w14:textId="77777777" w:rsidR="002D3E9B" w:rsidRPr="0081745D" w:rsidRDefault="00846E1D" w:rsidP="0081745D">
            <w:pPr>
              <w:pStyle w:val="NoSpacing"/>
              <w:rPr>
                <w:rFonts w:ascii="Arial" w:hAnsi="Arial" w:cs="Arial"/>
                <w:b/>
                <w:sz w:val="24"/>
                <w:szCs w:val="24"/>
              </w:rPr>
            </w:pPr>
            <w:r w:rsidRPr="0081745D">
              <w:rPr>
                <w:rFonts w:ascii="Arial" w:hAnsi="Arial" w:cs="Arial"/>
                <w:b/>
                <w:sz w:val="24"/>
                <w:szCs w:val="24"/>
              </w:rPr>
              <w:t>Financial implications</w:t>
            </w:r>
          </w:p>
        </w:tc>
        <w:tc>
          <w:tcPr>
            <w:tcW w:w="3241" w:type="pct"/>
          </w:tcPr>
          <w:p w14:paraId="54C4A590" w14:textId="722C3C50" w:rsidR="002D3E9B" w:rsidRPr="0081745D" w:rsidRDefault="008F0242" w:rsidP="00365235">
            <w:pPr>
              <w:pStyle w:val="NoSpacing"/>
              <w:rPr>
                <w:rFonts w:ascii="Arial" w:hAnsi="Arial" w:cs="Arial"/>
                <w:sz w:val="24"/>
                <w:szCs w:val="24"/>
              </w:rPr>
            </w:pPr>
            <w:r w:rsidRPr="006006C7">
              <w:rPr>
                <w:rFonts w:ascii="Arial" w:hAnsi="Arial" w:cs="Arial"/>
                <w:sz w:val="24"/>
                <w:szCs w:val="24"/>
              </w:rPr>
              <w:t xml:space="preserve">Contract price </w:t>
            </w:r>
            <w:r w:rsidR="006006C7" w:rsidRPr="006006C7">
              <w:rPr>
                <w:rFonts w:ascii="Arial" w:hAnsi="Arial" w:cs="Arial"/>
                <w:sz w:val="24"/>
                <w:szCs w:val="24"/>
              </w:rPr>
              <w:t>£204,924</w:t>
            </w:r>
            <w:r w:rsidR="006006C7">
              <w:rPr>
                <w:rFonts w:ascii="Arial" w:hAnsi="Arial" w:cs="Arial"/>
                <w:sz w:val="24"/>
                <w:szCs w:val="24"/>
              </w:rPr>
              <w:t xml:space="preserve"> (including VAT)</w:t>
            </w:r>
            <w:r w:rsidR="006D4F9A">
              <w:rPr>
                <w:rFonts w:ascii="Arial" w:hAnsi="Arial" w:cs="Arial"/>
                <w:sz w:val="24"/>
                <w:szCs w:val="24"/>
              </w:rPr>
              <w:t xml:space="preserve">. </w:t>
            </w:r>
            <w:proofErr w:type="gramStart"/>
            <w:r w:rsidR="00365235">
              <w:rPr>
                <w:rFonts w:ascii="Arial" w:hAnsi="Arial" w:cs="Arial"/>
                <w:sz w:val="24"/>
                <w:szCs w:val="24"/>
              </w:rPr>
              <w:t>Plus</w:t>
            </w:r>
            <w:proofErr w:type="gramEnd"/>
            <w:r w:rsidR="00365235">
              <w:rPr>
                <w:rFonts w:ascii="Arial" w:hAnsi="Arial" w:cs="Arial"/>
                <w:sz w:val="24"/>
                <w:szCs w:val="24"/>
              </w:rPr>
              <w:t xml:space="preserve"> additional charge of </w:t>
            </w:r>
            <w:r w:rsidR="00691090" w:rsidRPr="00691090">
              <w:rPr>
                <w:rFonts w:ascii="Arial" w:hAnsi="Arial" w:cs="Arial"/>
                <w:sz w:val="24"/>
                <w:szCs w:val="24"/>
              </w:rPr>
              <w:t>£34,038</w:t>
            </w:r>
            <w:r w:rsidR="00691090">
              <w:rPr>
                <w:rFonts w:ascii="Arial" w:hAnsi="Arial" w:cs="Arial"/>
                <w:sz w:val="24"/>
                <w:szCs w:val="24"/>
              </w:rPr>
              <w:t xml:space="preserve"> (including VAT).</w:t>
            </w:r>
            <w:r w:rsidR="00F5072E">
              <w:rPr>
                <w:rFonts w:ascii="Arial" w:hAnsi="Arial" w:cs="Arial"/>
                <w:sz w:val="24"/>
                <w:szCs w:val="24"/>
              </w:rPr>
              <w:t xml:space="preserve"> Now agreed.</w:t>
            </w:r>
          </w:p>
        </w:tc>
      </w:tr>
      <w:tr w:rsidR="008D76A0" w:rsidRPr="0065734F" w14:paraId="79E2397F" w14:textId="77777777" w:rsidTr="00E41312">
        <w:tc>
          <w:tcPr>
            <w:tcW w:w="1759" w:type="pct"/>
            <w:vAlign w:val="center"/>
          </w:tcPr>
          <w:p w14:paraId="6AAEE65F" w14:textId="77777777" w:rsidR="002D3E9B" w:rsidRPr="0081745D" w:rsidRDefault="002D3E9B" w:rsidP="0081745D">
            <w:pPr>
              <w:pStyle w:val="NoSpacing"/>
              <w:rPr>
                <w:rFonts w:ascii="Arial" w:hAnsi="Arial" w:cs="Arial"/>
                <w:b/>
                <w:sz w:val="24"/>
                <w:szCs w:val="24"/>
              </w:rPr>
            </w:pPr>
            <w:r w:rsidRPr="0081745D">
              <w:rPr>
                <w:rFonts w:ascii="Arial" w:hAnsi="Arial" w:cs="Arial"/>
                <w:b/>
                <w:sz w:val="24"/>
                <w:szCs w:val="24"/>
              </w:rPr>
              <w:t>Equal Opportunities implications</w:t>
            </w:r>
          </w:p>
        </w:tc>
        <w:tc>
          <w:tcPr>
            <w:tcW w:w="3241" w:type="pct"/>
          </w:tcPr>
          <w:p w14:paraId="52C8BC07" w14:textId="77777777" w:rsidR="002D3E9B" w:rsidRPr="0081745D" w:rsidRDefault="002D3E9B" w:rsidP="0081745D">
            <w:pPr>
              <w:pStyle w:val="NoSpacing"/>
              <w:rPr>
                <w:rFonts w:ascii="Arial" w:hAnsi="Arial" w:cs="Arial"/>
                <w:sz w:val="24"/>
                <w:szCs w:val="24"/>
              </w:rPr>
            </w:pPr>
            <w:r w:rsidRPr="0081745D">
              <w:rPr>
                <w:rFonts w:ascii="Arial" w:hAnsi="Arial" w:cs="Arial"/>
                <w:sz w:val="24"/>
                <w:szCs w:val="24"/>
              </w:rPr>
              <w:t>None</w:t>
            </w:r>
          </w:p>
        </w:tc>
      </w:tr>
      <w:tr w:rsidR="008D76A0" w:rsidRPr="0065734F" w14:paraId="470F6AB9" w14:textId="77777777" w:rsidTr="00E41312">
        <w:tc>
          <w:tcPr>
            <w:tcW w:w="1759" w:type="pct"/>
            <w:vAlign w:val="center"/>
          </w:tcPr>
          <w:p w14:paraId="76C4BEFC" w14:textId="77777777" w:rsidR="002D3E9B" w:rsidRPr="0081745D" w:rsidRDefault="002D3E9B" w:rsidP="0081745D">
            <w:pPr>
              <w:pStyle w:val="NoSpacing"/>
              <w:rPr>
                <w:rFonts w:ascii="Arial" w:hAnsi="Arial" w:cs="Arial"/>
                <w:b/>
                <w:sz w:val="24"/>
                <w:szCs w:val="24"/>
              </w:rPr>
            </w:pPr>
            <w:r w:rsidRPr="0081745D">
              <w:rPr>
                <w:rFonts w:ascii="Arial" w:hAnsi="Arial" w:cs="Arial"/>
                <w:b/>
                <w:sz w:val="24"/>
                <w:szCs w:val="24"/>
              </w:rPr>
              <w:t>Health &amp; Safety implications</w:t>
            </w:r>
          </w:p>
        </w:tc>
        <w:tc>
          <w:tcPr>
            <w:tcW w:w="3241" w:type="pct"/>
          </w:tcPr>
          <w:p w14:paraId="74DFC181" w14:textId="77777777" w:rsidR="002D3E9B" w:rsidRPr="0081745D" w:rsidRDefault="002D3E9B" w:rsidP="0081745D">
            <w:pPr>
              <w:pStyle w:val="NoSpacing"/>
              <w:rPr>
                <w:rFonts w:ascii="Arial" w:hAnsi="Arial" w:cs="Arial"/>
                <w:sz w:val="24"/>
                <w:szCs w:val="24"/>
              </w:rPr>
            </w:pPr>
            <w:r w:rsidRPr="0081745D">
              <w:rPr>
                <w:rFonts w:ascii="Arial" w:hAnsi="Arial" w:cs="Arial"/>
                <w:sz w:val="24"/>
                <w:szCs w:val="24"/>
              </w:rPr>
              <w:t>None</w:t>
            </w:r>
          </w:p>
        </w:tc>
      </w:tr>
      <w:tr w:rsidR="008D76A0" w:rsidRPr="0065734F" w14:paraId="7FCD0E80" w14:textId="77777777" w:rsidTr="00E41312">
        <w:tc>
          <w:tcPr>
            <w:tcW w:w="1759" w:type="pct"/>
            <w:vAlign w:val="center"/>
          </w:tcPr>
          <w:p w14:paraId="357E1499" w14:textId="77777777" w:rsidR="002D3E9B" w:rsidRPr="0081745D" w:rsidRDefault="002D3E9B" w:rsidP="0081745D">
            <w:pPr>
              <w:pStyle w:val="NoSpacing"/>
              <w:rPr>
                <w:rFonts w:ascii="Arial" w:hAnsi="Arial" w:cs="Arial"/>
                <w:b/>
                <w:sz w:val="24"/>
                <w:szCs w:val="24"/>
              </w:rPr>
            </w:pPr>
            <w:r w:rsidRPr="0081745D">
              <w:rPr>
                <w:rFonts w:ascii="Arial" w:hAnsi="Arial" w:cs="Arial"/>
                <w:b/>
                <w:sz w:val="24"/>
                <w:szCs w:val="24"/>
              </w:rPr>
              <w:t>Risk implications</w:t>
            </w:r>
            <w:r w:rsidR="006D429B">
              <w:rPr>
                <w:rFonts w:ascii="Arial" w:hAnsi="Arial" w:cs="Arial"/>
                <w:b/>
                <w:sz w:val="24"/>
                <w:szCs w:val="24"/>
              </w:rPr>
              <w:t xml:space="preserve"> </w:t>
            </w:r>
          </w:p>
        </w:tc>
        <w:tc>
          <w:tcPr>
            <w:tcW w:w="3241" w:type="pct"/>
          </w:tcPr>
          <w:p w14:paraId="40E8FFCF" w14:textId="77777777" w:rsidR="00CF2F74" w:rsidRPr="00A76B9D" w:rsidRDefault="00A76B9D" w:rsidP="0081745D">
            <w:pPr>
              <w:pStyle w:val="NoSpacing"/>
              <w:rPr>
                <w:rFonts w:ascii="Arial" w:hAnsi="Arial" w:cs="Arial"/>
                <w:color w:val="000000" w:themeColor="text1"/>
                <w:sz w:val="24"/>
                <w:szCs w:val="24"/>
              </w:rPr>
            </w:pPr>
            <w:r w:rsidRPr="00A76B9D">
              <w:rPr>
                <w:rFonts w:ascii="Arial" w:hAnsi="Arial" w:cs="Arial"/>
                <w:color w:val="000000" w:themeColor="text1"/>
                <w:sz w:val="24"/>
                <w:szCs w:val="24"/>
              </w:rPr>
              <w:t>We do not keep to revised project plan.</w:t>
            </w:r>
          </w:p>
          <w:p w14:paraId="45AA73F4" w14:textId="77777777" w:rsidR="00A76B9D" w:rsidRPr="006D4F9A" w:rsidRDefault="00A76B9D" w:rsidP="0081745D">
            <w:pPr>
              <w:pStyle w:val="NoSpacing"/>
              <w:rPr>
                <w:rFonts w:ascii="Arial" w:hAnsi="Arial" w:cs="Arial"/>
                <w:color w:val="FF0000"/>
                <w:sz w:val="24"/>
                <w:szCs w:val="24"/>
              </w:rPr>
            </w:pPr>
          </w:p>
          <w:p w14:paraId="224CAFAD" w14:textId="3382C3BE" w:rsidR="00750EB0" w:rsidRDefault="0052220B" w:rsidP="0081745D">
            <w:pPr>
              <w:pStyle w:val="NoSpacing"/>
              <w:rPr>
                <w:rFonts w:ascii="Arial" w:hAnsi="Arial" w:cs="Arial"/>
                <w:sz w:val="24"/>
                <w:szCs w:val="24"/>
              </w:rPr>
            </w:pPr>
            <w:r w:rsidRPr="006D4F9A">
              <w:rPr>
                <w:rFonts w:ascii="Arial" w:hAnsi="Arial" w:cs="Arial"/>
                <w:sz w:val="24"/>
                <w:szCs w:val="24"/>
              </w:rPr>
              <w:t>Further upgra</w:t>
            </w:r>
            <w:r w:rsidR="006006C7" w:rsidRPr="006D4F9A">
              <w:rPr>
                <w:rFonts w:ascii="Arial" w:hAnsi="Arial" w:cs="Arial"/>
                <w:sz w:val="24"/>
                <w:szCs w:val="24"/>
              </w:rPr>
              <w:t>de</w:t>
            </w:r>
            <w:r w:rsidR="00972308" w:rsidRPr="006D4F9A">
              <w:rPr>
                <w:rFonts w:ascii="Arial" w:hAnsi="Arial" w:cs="Arial"/>
                <w:sz w:val="24"/>
                <w:szCs w:val="24"/>
              </w:rPr>
              <w:t xml:space="preserve"> of CX </w:t>
            </w:r>
            <w:r w:rsidR="006D4F9A" w:rsidRPr="006D4F9A">
              <w:rPr>
                <w:rFonts w:ascii="Arial" w:hAnsi="Arial" w:cs="Arial"/>
                <w:sz w:val="24"/>
                <w:szCs w:val="24"/>
              </w:rPr>
              <w:t xml:space="preserve">fails to </w:t>
            </w:r>
            <w:r w:rsidR="00BB0450" w:rsidRPr="006D4F9A">
              <w:rPr>
                <w:rFonts w:ascii="Arial" w:hAnsi="Arial" w:cs="Arial"/>
                <w:sz w:val="24"/>
                <w:szCs w:val="24"/>
              </w:rPr>
              <w:t>resolve</w:t>
            </w:r>
            <w:r w:rsidR="00726644" w:rsidRPr="006D4F9A">
              <w:rPr>
                <w:rFonts w:ascii="Arial" w:hAnsi="Arial" w:cs="Arial"/>
                <w:sz w:val="24"/>
                <w:szCs w:val="24"/>
              </w:rPr>
              <w:t xml:space="preserve"> </w:t>
            </w:r>
            <w:r w:rsidR="006D4F9A" w:rsidRPr="006D4F9A">
              <w:rPr>
                <w:rFonts w:ascii="Arial" w:hAnsi="Arial" w:cs="Arial"/>
                <w:sz w:val="24"/>
                <w:szCs w:val="24"/>
              </w:rPr>
              <w:t>our issues as planned</w:t>
            </w:r>
          </w:p>
          <w:p w14:paraId="72FC557D" w14:textId="77777777" w:rsidR="00A76B9D" w:rsidRDefault="00A76B9D" w:rsidP="0081745D">
            <w:pPr>
              <w:pStyle w:val="NoSpacing"/>
              <w:rPr>
                <w:rFonts w:ascii="Arial" w:hAnsi="Arial" w:cs="Arial"/>
                <w:sz w:val="24"/>
                <w:szCs w:val="24"/>
              </w:rPr>
            </w:pPr>
          </w:p>
          <w:p w14:paraId="55688DDA" w14:textId="3A9C2F08" w:rsidR="00A76B9D" w:rsidRDefault="00A76B9D" w:rsidP="00550F57">
            <w:pPr>
              <w:pStyle w:val="NoSpacing"/>
              <w:tabs>
                <w:tab w:val="right" w:pos="5991"/>
              </w:tabs>
              <w:rPr>
                <w:rFonts w:ascii="Arial" w:hAnsi="Arial" w:cs="Arial"/>
                <w:sz w:val="24"/>
                <w:szCs w:val="24"/>
              </w:rPr>
            </w:pPr>
            <w:r>
              <w:rPr>
                <w:rFonts w:ascii="Arial" w:hAnsi="Arial" w:cs="Arial"/>
                <w:sz w:val="24"/>
                <w:szCs w:val="24"/>
              </w:rPr>
              <w:t>Functionality not as required.</w:t>
            </w:r>
            <w:r w:rsidR="00550F57">
              <w:rPr>
                <w:rFonts w:ascii="Arial" w:hAnsi="Arial" w:cs="Arial"/>
                <w:sz w:val="24"/>
                <w:szCs w:val="24"/>
              </w:rPr>
              <w:tab/>
            </w:r>
          </w:p>
          <w:p w14:paraId="2716BE56" w14:textId="77777777" w:rsidR="00A76B9D" w:rsidRPr="00011A37" w:rsidRDefault="00A76B9D" w:rsidP="0081745D">
            <w:pPr>
              <w:pStyle w:val="NoSpacing"/>
              <w:rPr>
                <w:rFonts w:ascii="Arial" w:hAnsi="Arial" w:cs="Arial"/>
                <w:sz w:val="24"/>
                <w:szCs w:val="24"/>
              </w:rPr>
            </w:pPr>
          </w:p>
          <w:p w14:paraId="2E90B06D" w14:textId="6747EA1C" w:rsidR="0010282C" w:rsidRPr="00BB0450" w:rsidRDefault="00F5072E" w:rsidP="00BB0450">
            <w:pPr>
              <w:pStyle w:val="NoSpacing"/>
              <w:rPr>
                <w:rFonts w:ascii="Arial" w:hAnsi="Arial" w:cs="Arial"/>
                <w:sz w:val="24"/>
                <w:szCs w:val="24"/>
              </w:rPr>
            </w:pPr>
            <w:r>
              <w:rPr>
                <w:rFonts w:ascii="Arial" w:hAnsi="Arial" w:cs="Arial"/>
                <w:sz w:val="24"/>
                <w:szCs w:val="24"/>
              </w:rPr>
              <w:t>Delays with Phase 2</w:t>
            </w:r>
          </w:p>
        </w:tc>
      </w:tr>
      <w:tr w:rsidR="008D76A0" w:rsidRPr="0065734F" w14:paraId="55AF8B09" w14:textId="77777777" w:rsidTr="00E41312">
        <w:tc>
          <w:tcPr>
            <w:tcW w:w="1759" w:type="pct"/>
            <w:vAlign w:val="center"/>
          </w:tcPr>
          <w:p w14:paraId="78B23A95" w14:textId="77777777" w:rsidR="002D3E9B" w:rsidRPr="0081745D" w:rsidRDefault="002D3E9B" w:rsidP="0081745D">
            <w:pPr>
              <w:pStyle w:val="NoSpacing"/>
              <w:rPr>
                <w:rFonts w:ascii="Arial" w:hAnsi="Arial" w:cs="Arial"/>
                <w:b/>
                <w:sz w:val="24"/>
                <w:szCs w:val="24"/>
              </w:rPr>
            </w:pPr>
            <w:r w:rsidRPr="0081745D">
              <w:rPr>
                <w:rFonts w:ascii="Arial" w:hAnsi="Arial" w:cs="Arial"/>
                <w:b/>
                <w:sz w:val="24"/>
                <w:szCs w:val="24"/>
              </w:rPr>
              <w:t>Charter implications</w:t>
            </w:r>
          </w:p>
        </w:tc>
        <w:tc>
          <w:tcPr>
            <w:tcW w:w="3241" w:type="pct"/>
          </w:tcPr>
          <w:p w14:paraId="687E7085" w14:textId="77777777" w:rsidR="00846E1D" w:rsidRPr="0081745D" w:rsidRDefault="002D3E9B" w:rsidP="0081745D">
            <w:pPr>
              <w:pStyle w:val="NoSpacing"/>
              <w:rPr>
                <w:rFonts w:ascii="Arial" w:hAnsi="Arial" w:cs="Arial"/>
                <w:sz w:val="24"/>
                <w:szCs w:val="24"/>
              </w:rPr>
            </w:pPr>
            <w:r w:rsidRPr="0081745D">
              <w:rPr>
                <w:rFonts w:ascii="Arial" w:hAnsi="Arial" w:cs="Arial"/>
                <w:sz w:val="24"/>
                <w:szCs w:val="24"/>
              </w:rPr>
              <w:t>None</w:t>
            </w:r>
          </w:p>
        </w:tc>
      </w:tr>
      <w:tr w:rsidR="008D76A0" w:rsidRPr="0065734F" w14:paraId="4090C77B" w14:textId="77777777" w:rsidTr="00E41312">
        <w:tc>
          <w:tcPr>
            <w:tcW w:w="1759" w:type="pct"/>
            <w:vAlign w:val="center"/>
          </w:tcPr>
          <w:p w14:paraId="4A75C79D" w14:textId="77777777" w:rsidR="002D3E9B" w:rsidRPr="0081745D" w:rsidRDefault="002D3E9B" w:rsidP="0081745D">
            <w:pPr>
              <w:pStyle w:val="NoSpacing"/>
              <w:rPr>
                <w:rFonts w:ascii="Arial" w:hAnsi="Arial" w:cs="Arial"/>
                <w:b/>
                <w:sz w:val="24"/>
                <w:szCs w:val="24"/>
              </w:rPr>
            </w:pPr>
            <w:r w:rsidRPr="0081745D">
              <w:rPr>
                <w:rFonts w:ascii="Arial" w:hAnsi="Arial" w:cs="Arial"/>
                <w:b/>
                <w:sz w:val="24"/>
                <w:szCs w:val="24"/>
              </w:rPr>
              <w:t>New Re</w:t>
            </w:r>
            <w:r w:rsidR="00846E1D" w:rsidRPr="0081745D">
              <w:rPr>
                <w:rFonts w:ascii="Arial" w:hAnsi="Arial" w:cs="Arial"/>
                <w:b/>
                <w:sz w:val="24"/>
                <w:szCs w:val="24"/>
              </w:rPr>
              <w:t>gulatory Framework Implications</w:t>
            </w:r>
          </w:p>
        </w:tc>
        <w:tc>
          <w:tcPr>
            <w:tcW w:w="3241" w:type="pct"/>
          </w:tcPr>
          <w:p w14:paraId="2377A8BB" w14:textId="77777777" w:rsidR="002D3E9B" w:rsidRPr="0081745D" w:rsidRDefault="002D3E9B" w:rsidP="0081745D">
            <w:pPr>
              <w:pStyle w:val="NoSpacing"/>
              <w:rPr>
                <w:rFonts w:ascii="Arial" w:hAnsi="Arial" w:cs="Arial"/>
                <w:sz w:val="24"/>
                <w:szCs w:val="24"/>
              </w:rPr>
            </w:pPr>
            <w:r w:rsidRPr="0081745D">
              <w:rPr>
                <w:rFonts w:ascii="Arial" w:hAnsi="Arial" w:cs="Arial"/>
                <w:sz w:val="24"/>
                <w:szCs w:val="24"/>
              </w:rPr>
              <w:t>None</w:t>
            </w:r>
          </w:p>
        </w:tc>
      </w:tr>
      <w:tr w:rsidR="008D76A0" w:rsidRPr="0065734F" w14:paraId="10CB6B14" w14:textId="77777777" w:rsidTr="00E41312">
        <w:tc>
          <w:tcPr>
            <w:tcW w:w="1759" w:type="pct"/>
            <w:vAlign w:val="center"/>
          </w:tcPr>
          <w:p w14:paraId="0D418058" w14:textId="77777777" w:rsidR="002D3E9B" w:rsidRPr="0081745D" w:rsidRDefault="002D3E9B" w:rsidP="0081745D">
            <w:pPr>
              <w:pStyle w:val="NoSpacing"/>
              <w:rPr>
                <w:rFonts w:ascii="Arial" w:hAnsi="Arial" w:cs="Arial"/>
                <w:b/>
                <w:sz w:val="24"/>
                <w:szCs w:val="24"/>
              </w:rPr>
            </w:pPr>
            <w:r w:rsidRPr="0081745D">
              <w:rPr>
                <w:rFonts w:ascii="Arial" w:hAnsi="Arial" w:cs="Arial"/>
                <w:b/>
                <w:sz w:val="24"/>
                <w:szCs w:val="24"/>
              </w:rPr>
              <w:t>Relevance to Business Plan</w:t>
            </w:r>
          </w:p>
        </w:tc>
        <w:tc>
          <w:tcPr>
            <w:tcW w:w="3241" w:type="pct"/>
          </w:tcPr>
          <w:p w14:paraId="24E56E76" w14:textId="77777777" w:rsidR="002D3E9B" w:rsidRPr="0081745D" w:rsidRDefault="008D76A0" w:rsidP="0081745D">
            <w:pPr>
              <w:pStyle w:val="NoSpacing"/>
              <w:rPr>
                <w:rFonts w:ascii="Arial" w:hAnsi="Arial" w:cs="Arial"/>
                <w:sz w:val="24"/>
                <w:szCs w:val="24"/>
              </w:rPr>
            </w:pPr>
            <w:r w:rsidRPr="0081745D">
              <w:rPr>
                <w:rFonts w:ascii="Arial" w:hAnsi="Arial" w:cs="Arial"/>
                <w:sz w:val="24"/>
                <w:szCs w:val="24"/>
              </w:rPr>
              <w:t>1</w:t>
            </w:r>
            <w:r w:rsidR="00CF01B7" w:rsidRPr="0081745D">
              <w:rPr>
                <w:rFonts w:ascii="Arial" w:hAnsi="Arial" w:cs="Arial"/>
                <w:sz w:val="24"/>
                <w:szCs w:val="24"/>
              </w:rPr>
              <w:t>4</w:t>
            </w:r>
            <w:r w:rsidR="002D3E9B" w:rsidRPr="0081745D">
              <w:rPr>
                <w:rFonts w:ascii="Arial" w:hAnsi="Arial" w:cs="Arial"/>
                <w:sz w:val="24"/>
                <w:szCs w:val="24"/>
              </w:rPr>
              <w:t xml:space="preserve">. </w:t>
            </w:r>
            <w:r w:rsidRPr="0081745D">
              <w:rPr>
                <w:rFonts w:ascii="Arial" w:hAnsi="Arial" w:cs="Arial"/>
                <w:sz w:val="24"/>
                <w:szCs w:val="24"/>
              </w:rPr>
              <w:t>Modernise ICT</w:t>
            </w:r>
          </w:p>
        </w:tc>
      </w:tr>
    </w:tbl>
    <w:p w14:paraId="66D7994F" w14:textId="77777777" w:rsidR="00373724" w:rsidRDefault="00373724" w:rsidP="002D3E9B">
      <w:pPr>
        <w:rPr>
          <w:rFonts w:ascii="Arial" w:hAnsi="Arial" w:cs="Arial"/>
          <w:b/>
          <w:sz w:val="24"/>
          <w:szCs w:val="24"/>
        </w:rPr>
      </w:pPr>
    </w:p>
    <w:p w14:paraId="78214AA1" w14:textId="77777777" w:rsidR="00B656F0" w:rsidRDefault="00B656F0">
      <w:pPr>
        <w:rPr>
          <w:rFonts w:ascii="Arial" w:hAnsi="Arial" w:cs="Arial"/>
          <w:b/>
          <w:sz w:val="24"/>
          <w:szCs w:val="24"/>
        </w:rPr>
      </w:pPr>
      <w:r>
        <w:rPr>
          <w:rFonts w:ascii="Arial" w:hAnsi="Arial" w:cs="Arial"/>
          <w:b/>
          <w:sz w:val="24"/>
          <w:szCs w:val="24"/>
        </w:rPr>
        <w:br w:type="page"/>
      </w:r>
    </w:p>
    <w:p w14:paraId="30390803" w14:textId="77777777" w:rsidR="002D3E9B" w:rsidRPr="001B59AD" w:rsidRDefault="002D3E9B" w:rsidP="002D3E9B">
      <w:pPr>
        <w:rPr>
          <w:rFonts w:ascii="Arial" w:hAnsi="Arial" w:cs="Arial"/>
          <w:b/>
          <w:sz w:val="24"/>
          <w:szCs w:val="24"/>
        </w:rPr>
      </w:pPr>
      <w:r w:rsidRPr="00CF01B7">
        <w:rPr>
          <w:rFonts w:ascii="Arial" w:hAnsi="Arial" w:cs="Arial"/>
          <w:b/>
          <w:sz w:val="24"/>
          <w:szCs w:val="24"/>
        </w:rPr>
        <w:lastRenderedPageBreak/>
        <w:t>To:</w:t>
      </w:r>
      <w:r w:rsidRPr="00CF01B7">
        <w:rPr>
          <w:rFonts w:ascii="Arial" w:hAnsi="Arial" w:cs="Arial"/>
          <w:b/>
          <w:sz w:val="24"/>
          <w:szCs w:val="24"/>
        </w:rPr>
        <w:tab/>
      </w:r>
      <w:r w:rsidRPr="00CF01B7">
        <w:rPr>
          <w:rFonts w:ascii="Arial" w:hAnsi="Arial" w:cs="Arial"/>
          <w:b/>
          <w:sz w:val="24"/>
          <w:szCs w:val="24"/>
        </w:rPr>
        <w:tab/>
      </w:r>
      <w:r w:rsidRPr="001B59AD">
        <w:rPr>
          <w:rFonts w:ascii="Arial" w:hAnsi="Arial" w:cs="Arial"/>
          <w:b/>
          <w:sz w:val="24"/>
          <w:szCs w:val="24"/>
        </w:rPr>
        <w:tab/>
      </w:r>
      <w:r w:rsidRPr="001B59AD">
        <w:rPr>
          <w:rFonts w:ascii="Arial" w:hAnsi="Arial" w:cs="Arial"/>
          <w:b/>
          <w:sz w:val="24"/>
          <w:szCs w:val="24"/>
        </w:rPr>
        <w:tab/>
      </w:r>
      <w:r w:rsidRPr="001B59AD">
        <w:rPr>
          <w:rFonts w:ascii="Arial" w:hAnsi="Arial" w:cs="Arial"/>
          <w:b/>
          <w:sz w:val="24"/>
          <w:szCs w:val="24"/>
        </w:rPr>
        <w:tab/>
      </w:r>
      <w:r w:rsidR="007169BB">
        <w:rPr>
          <w:rFonts w:ascii="Arial" w:hAnsi="Arial" w:cs="Arial"/>
          <w:b/>
          <w:sz w:val="24"/>
          <w:szCs w:val="24"/>
        </w:rPr>
        <w:t xml:space="preserve">Board </w:t>
      </w:r>
    </w:p>
    <w:p w14:paraId="16F528F1" w14:textId="26FC822A" w:rsidR="002D3E9B" w:rsidRPr="006006C7" w:rsidRDefault="002D3E9B" w:rsidP="002D3E9B">
      <w:pPr>
        <w:outlineLvl w:val="0"/>
        <w:rPr>
          <w:rFonts w:ascii="Arial" w:hAnsi="Arial" w:cs="Arial"/>
          <w:b/>
          <w:sz w:val="24"/>
          <w:szCs w:val="24"/>
        </w:rPr>
      </w:pPr>
      <w:r w:rsidRPr="001B59AD">
        <w:rPr>
          <w:rFonts w:ascii="Arial" w:hAnsi="Arial" w:cs="Arial"/>
          <w:b/>
          <w:sz w:val="24"/>
          <w:szCs w:val="24"/>
        </w:rPr>
        <w:t>Date of meeting:</w:t>
      </w:r>
      <w:r w:rsidRPr="001B59AD">
        <w:rPr>
          <w:rFonts w:ascii="Arial" w:hAnsi="Arial" w:cs="Arial"/>
          <w:b/>
          <w:sz w:val="24"/>
          <w:szCs w:val="24"/>
        </w:rPr>
        <w:tab/>
      </w:r>
      <w:r w:rsidRPr="001B59AD">
        <w:rPr>
          <w:rFonts w:ascii="Arial" w:hAnsi="Arial" w:cs="Arial"/>
          <w:b/>
          <w:sz w:val="24"/>
          <w:szCs w:val="24"/>
        </w:rPr>
        <w:tab/>
      </w:r>
      <w:r w:rsidRPr="001B59AD">
        <w:rPr>
          <w:rFonts w:ascii="Arial" w:hAnsi="Arial" w:cs="Arial"/>
          <w:b/>
          <w:sz w:val="24"/>
          <w:szCs w:val="24"/>
        </w:rPr>
        <w:tab/>
      </w:r>
      <w:r w:rsidR="00F5072E">
        <w:rPr>
          <w:rFonts w:ascii="Arial" w:hAnsi="Arial" w:cs="Arial"/>
          <w:b/>
          <w:sz w:val="24"/>
          <w:szCs w:val="24"/>
        </w:rPr>
        <w:t>21/2/22</w:t>
      </w:r>
    </w:p>
    <w:p w14:paraId="563074D3" w14:textId="77777777" w:rsidR="002D3E9B" w:rsidRPr="001B59AD" w:rsidRDefault="002D3E9B" w:rsidP="002D3E9B">
      <w:pPr>
        <w:ind w:left="2977" w:hanging="2977"/>
        <w:rPr>
          <w:rFonts w:ascii="Arial" w:hAnsi="Arial" w:cs="Arial"/>
          <w:b/>
          <w:sz w:val="24"/>
          <w:szCs w:val="24"/>
        </w:rPr>
      </w:pPr>
      <w:r w:rsidRPr="001B59AD">
        <w:rPr>
          <w:rFonts w:ascii="Arial" w:hAnsi="Arial" w:cs="Arial"/>
          <w:b/>
          <w:sz w:val="24"/>
          <w:szCs w:val="24"/>
        </w:rPr>
        <w:t xml:space="preserve">Report by:                      </w:t>
      </w:r>
      <w:r w:rsidRPr="001B59AD">
        <w:rPr>
          <w:rFonts w:ascii="Arial" w:hAnsi="Arial" w:cs="Arial"/>
          <w:b/>
          <w:sz w:val="24"/>
          <w:szCs w:val="24"/>
        </w:rPr>
        <w:tab/>
      </w:r>
      <w:r w:rsidRPr="001B59AD">
        <w:rPr>
          <w:rFonts w:ascii="Arial" w:hAnsi="Arial" w:cs="Arial"/>
          <w:b/>
          <w:sz w:val="24"/>
          <w:szCs w:val="24"/>
        </w:rPr>
        <w:tab/>
      </w:r>
      <w:r w:rsidR="001C3408">
        <w:rPr>
          <w:rFonts w:ascii="Arial" w:hAnsi="Arial" w:cs="Arial"/>
          <w:b/>
          <w:sz w:val="24"/>
          <w:szCs w:val="24"/>
        </w:rPr>
        <w:t xml:space="preserve">Head of </w:t>
      </w:r>
      <w:r w:rsidR="00CF01B7" w:rsidRPr="001B59AD">
        <w:rPr>
          <w:rFonts w:ascii="Arial" w:hAnsi="Arial" w:cs="Arial"/>
          <w:b/>
          <w:sz w:val="24"/>
          <w:szCs w:val="24"/>
        </w:rPr>
        <w:t>Finance</w:t>
      </w:r>
      <w:r w:rsidR="00B656F0">
        <w:rPr>
          <w:rFonts w:ascii="Arial" w:hAnsi="Arial" w:cs="Arial"/>
          <w:b/>
          <w:sz w:val="24"/>
          <w:szCs w:val="24"/>
        </w:rPr>
        <w:t xml:space="preserve"> &amp; </w:t>
      </w:r>
      <w:r w:rsidR="0052220B">
        <w:rPr>
          <w:rFonts w:ascii="Arial" w:hAnsi="Arial" w:cs="Arial"/>
          <w:b/>
          <w:sz w:val="24"/>
          <w:szCs w:val="24"/>
        </w:rPr>
        <w:t>IT</w:t>
      </w:r>
      <w:r w:rsidR="00CF01B7" w:rsidRPr="001B59AD">
        <w:rPr>
          <w:rFonts w:ascii="Arial" w:hAnsi="Arial" w:cs="Arial"/>
          <w:b/>
          <w:sz w:val="24"/>
          <w:szCs w:val="24"/>
        </w:rPr>
        <w:t xml:space="preserve"> </w:t>
      </w:r>
    </w:p>
    <w:p w14:paraId="1BFEA33D" w14:textId="77777777" w:rsidR="002D3E9B" w:rsidRPr="006006C7" w:rsidRDefault="002D3E9B" w:rsidP="00CF01B7">
      <w:pPr>
        <w:ind w:left="3600" w:hanging="3600"/>
        <w:rPr>
          <w:rFonts w:ascii="Arial" w:hAnsi="Arial" w:cs="Arial"/>
          <w:b/>
          <w:sz w:val="24"/>
          <w:szCs w:val="24"/>
        </w:rPr>
      </w:pPr>
      <w:r w:rsidRPr="001B59AD">
        <w:rPr>
          <w:rFonts w:ascii="Arial" w:hAnsi="Arial" w:cs="Arial"/>
          <w:b/>
          <w:sz w:val="24"/>
          <w:szCs w:val="24"/>
        </w:rPr>
        <w:t>Subject:</w:t>
      </w:r>
      <w:r w:rsidRPr="001B59AD">
        <w:rPr>
          <w:rFonts w:ascii="Arial" w:hAnsi="Arial" w:cs="Arial"/>
          <w:sz w:val="24"/>
          <w:szCs w:val="24"/>
        </w:rPr>
        <w:tab/>
      </w:r>
      <w:r w:rsidR="00D76C0C" w:rsidRPr="001B59AD">
        <w:rPr>
          <w:rFonts w:ascii="Arial" w:hAnsi="Arial" w:cs="Arial"/>
          <w:b/>
          <w:sz w:val="24"/>
          <w:szCs w:val="24"/>
        </w:rPr>
        <w:t>CX</w:t>
      </w:r>
      <w:r w:rsidR="00CF01B7" w:rsidRPr="001B59AD">
        <w:rPr>
          <w:rFonts w:ascii="Arial" w:hAnsi="Arial" w:cs="Arial"/>
          <w:b/>
          <w:sz w:val="24"/>
          <w:szCs w:val="24"/>
        </w:rPr>
        <w:t xml:space="preserve"> Implementation </w:t>
      </w:r>
      <w:r w:rsidR="00CF01B7" w:rsidRPr="006006C7">
        <w:rPr>
          <w:rFonts w:ascii="Arial" w:hAnsi="Arial" w:cs="Arial"/>
          <w:b/>
          <w:sz w:val="24"/>
          <w:szCs w:val="24"/>
        </w:rPr>
        <w:t xml:space="preserve">Report </w:t>
      </w:r>
      <w:r w:rsidR="00F03A76">
        <w:rPr>
          <w:rFonts w:ascii="Arial" w:hAnsi="Arial" w:cs="Arial"/>
          <w:b/>
          <w:sz w:val="24"/>
          <w:szCs w:val="24"/>
        </w:rPr>
        <w:t xml:space="preserve">– Update </w:t>
      </w:r>
    </w:p>
    <w:p w14:paraId="12C913CF" w14:textId="1A301C33" w:rsidR="002D3E9B" w:rsidRPr="0031622B" w:rsidRDefault="002D3E9B" w:rsidP="00B470B0">
      <w:pPr>
        <w:pBdr>
          <w:bottom w:val="single" w:sz="12" w:space="1" w:color="auto"/>
        </w:pBdr>
        <w:outlineLvl w:val="0"/>
        <w:rPr>
          <w:rFonts w:ascii="Arial" w:hAnsi="Arial" w:cs="Arial"/>
          <w:b/>
          <w:sz w:val="24"/>
          <w:szCs w:val="24"/>
        </w:rPr>
      </w:pPr>
      <w:r w:rsidRPr="001B59AD">
        <w:rPr>
          <w:rFonts w:ascii="Arial" w:hAnsi="Arial" w:cs="Arial"/>
          <w:b/>
          <w:sz w:val="24"/>
          <w:szCs w:val="24"/>
        </w:rPr>
        <w:t>Agenda Item:</w:t>
      </w:r>
      <w:r w:rsidRPr="001B59AD">
        <w:rPr>
          <w:rFonts w:ascii="Arial" w:hAnsi="Arial" w:cs="Arial"/>
          <w:b/>
          <w:sz w:val="24"/>
          <w:szCs w:val="24"/>
        </w:rPr>
        <w:tab/>
      </w:r>
      <w:r w:rsidRPr="001B59AD">
        <w:rPr>
          <w:rFonts w:ascii="Arial" w:hAnsi="Arial" w:cs="Arial"/>
          <w:b/>
          <w:sz w:val="24"/>
          <w:szCs w:val="24"/>
        </w:rPr>
        <w:tab/>
      </w:r>
      <w:r w:rsidR="00E41312" w:rsidRPr="001B59AD">
        <w:rPr>
          <w:rFonts w:ascii="Arial" w:hAnsi="Arial" w:cs="Arial"/>
          <w:b/>
          <w:sz w:val="24"/>
          <w:szCs w:val="24"/>
        </w:rPr>
        <w:t xml:space="preserve"> </w:t>
      </w:r>
      <w:r w:rsidR="00B470B0" w:rsidRPr="001B59AD">
        <w:rPr>
          <w:rFonts w:ascii="Arial" w:hAnsi="Arial" w:cs="Arial"/>
          <w:b/>
          <w:sz w:val="24"/>
          <w:szCs w:val="24"/>
        </w:rPr>
        <w:tab/>
      </w:r>
      <w:r w:rsidR="00336B8E">
        <w:rPr>
          <w:rFonts w:ascii="Arial" w:hAnsi="Arial" w:cs="Arial"/>
          <w:b/>
          <w:sz w:val="24"/>
          <w:szCs w:val="24"/>
        </w:rPr>
        <w:t>5</w:t>
      </w:r>
    </w:p>
    <w:p w14:paraId="4709ABF7" w14:textId="77777777" w:rsidR="002D3E9B" w:rsidRPr="001B59AD" w:rsidRDefault="002D3E9B" w:rsidP="00041082">
      <w:pPr>
        <w:numPr>
          <w:ilvl w:val="0"/>
          <w:numId w:val="1"/>
        </w:numPr>
        <w:ind w:left="567" w:hanging="567"/>
        <w:rPr>
          <w:rFonts w:ascii="Arial" w:hAnsi="Arial" w:cs="Arial"/>
          <w:b/>
          <w:sz w:val="24"/>
          <w:szCs w:val="24"/>
        </w:rPr>
      </w:pPr>
      <w:r w:rsidRPr="001B59AD">
        <w:rPr>
          <w:rFonts w:ascii="Arial" w:hAnsi="Arial" w:cs="Arial"/>
          <w:b/>
          <w:sz w:val="24"/>
          <w:szCs w:val="24"/>
        </w:rPr>
        <w:t>I</w:t>
      </w:r>
      <w:r w:rsidR="009774C9">
        <w:rPr>
          <w:rFonts w:ascii="Arial" w:hAnsi="Arial" w:cs="Arial"/>
          <w:b/>
          <w:sz w:val="24"/>
          <w:szCs w:val="24"/>
        </w:rPr>
        <w:t>ntroduction</w:t>
      </w:r>
    </w:p>
    <w:p w14:paraId="5916EC4F" w14:textId="3D3BFE8E" w:rsidR="00E56891" w:rsidRDefault="00F03A76" w:rsidP="004F38F5">
      <w:pPr>
        <w:pStyle w:val="ListParagraph"/>
        <w:numPr>
          <w:ilvl w:val="1"/>
          <w:numId w:val="35"/>
        </w:numPr>
        <w:rPr>
          <w:rFonts w:ascii="Arial" w:hAnsi="Arial" w:cs="Arial"/>
          <w:sz w:val="24"/>
          <w:szCs w:val="24"/>
        </w:rPr>
      </w:pPr>
      <w:r w:rsidRPr="004F38F5">
        <w:rPr>
          <w:rFonts w:ascii="Arial" w:hAnsi="Arial" w:cs="Arial"/>
          <w:sz w:val="24"/>
          <w:szCs w:val="24"/>
        </w:rPr>
        <w:t>This is an update</w:t>
      </w:r>
      <w:r w:rsidR="00EB0950">
        <w:rPr>
          <w:rFonts w:ascii="Arial" w:hAnsi="Arial" w:cs="Arial"/>
          <w:sz w:val="24"/>
          <w:szCs w:val="24"/>
        </w:rPr>
        <w:t xml:space="preserve"> report </w:t>
      </w:r>
      <w:r w:rsidR="00EB0950" w:rsidRPr="00D05F6D">
        <w:rPr>
          <w:rFonts w:ascii="Arial" w:hAnsi="Arial" w:cs="Arial"/>
          <w:sz w:val="24"/>
          <w:szCs w:val="24"/>
        </w:rPr>
        <w:t xml:space="preserve">following on from the </w:t>
      </w:r>
      <w:r w:rsidRPr="00D05F6D">
        <w:rPr>
          <w:rFonts w:ascii="Arial" w:hAnsi="Arial" w:cs="Arial"/>
          <w:sz w:val="24"/>
          <w:szCs w:val="24"/>
        </w:rPr>
        <w:t xml:space="preserve">CX </w:t>
      </w:r>
      <w:r w:rsidR="004F38F5" w:rsidRPr="00D05F6D">
        <w:rPr>
          <w:rFonts w:ascii="Arial" w:hAnsi="Arial" w:cs="Arial"/>
          <w:sz w:val="24"/>
          <w:szCs w:val="24"/>
        </w:rPr>
        <w:t>report presented</w:t>
      </w:r>
      <w:r w:rsidR="00BA3407">
        <w:rPr>
          <w:rFonts w:ascii="Arial" w:hAnsi="Arial" w:cs="Arial"/>
          <w:sz w:val="24"/>
          <w:szCs w:val="24"/>
        </w:rPr>
        <w:t xml:space="preserve"> </w:t>
      </w:r>
      <w:proofErr w:type="gramStart"/>
      <w:r w:rsidR="00BA3407">
        <w:rPr>
          <w:rFonts w:ascii="Arial" w:hAnsi="Arial" w:cs="Arial"/>
          <w:sz w:val="24"/>
          <w:szCs w:val="24"/>
        </w:rPr>
        <w:t>in</w:t>
      </w:r>
      <w:proofErr w:type="gramEnd"/>
      <w:r w:rsidR="00F5072E">
        <w:rPr>
          <w:rFonts w:ascii="Arial" w:hAnsi="Arial" w:cs="Arial"/>
          <w:sz w:val="24"/>
          <w:szCs w:val="24"/>
        </w:rPr>
        <w:t xml:space="preserve"> November </w:t>
      </w:r>
      <w:r w:rsidR="00D05F6D">
        <w:rPr>
          <w:rFonts w:ascii="Arial" w:hAnsi="Arial" w:cs="Arial"/>
          <w:sz w:val="24"/>
          <w:szCs w:val="24"/>
        </w:rPr>
        <w:t>2</w:t>
      </w:r>
      <w:r w:rsidR="00F5072E">
        <w:rPr>
          <w:rFonts w:ascii="Arial" w:hAnsi="Arial" w:cs="Arial"/>
          <w:sz w:val="24"/>
          <w:szCs w:val="24"/>
        </w:rPr>
        <w:t>1</w:t>
      </w:r>
    </w:p>
    <w:p w14:paraId="5F747AC6" w14:textId="77777777" w:rsidR="00D05F6D" w:rsidRPr="00D05F6D" w:rsidRDefault="00D05F6D" w:rsidP="00D05F6D">
      <w:pPr>
        <w:pStyle w:val="ListParagraph"/>
        <w:ind w:left="570"/>
        <w:rPr>
          <w:rFonts w:ascii="Arial" w:hAnsi="Arial" w:cs="Arial"/>
          <w:sz w:val="24"/>
          <w:szCs w:val="24"/>
        </w:rPr>
      </w:pPr>
    </w:p>
    <w:p w14:paraId="1296E33C" w14:textId="5AE278AA" w:rsidR="004F38F5" w:rsidRPr="004F38F5" w:rsidRDefault="00F5072E" w:rsidP="004F38F5">
      <w:pPr>
        <w:pStyle w:val="ListParagraph"/>
        <w:numPr>
          <w:ilvl w:val="1"/>
          <w:numId w:val="35"/>
        </w:numPr>
        <w:rPr>
          <w:rFonts w:ascii="Arial" w:hAnsi="Arial" w:cs="Arial"/>
          <w:b/>
          <w:bCs/>
          <w:sz w:val="24"/>
          <w:szCs w:val="24"/>
        </w:rPr>
      </w:pPr>
      <w:r>
        <w:rPr>
          <w:rFonts w:ascii="Arial" w:hAnsi="Arial" w:cs="Arial"/>
          <w:bCs/>
          <w:sz w:val="24"/>
          <w:szCs w:val="24"/>
        </w:rPr>
        <w:t>Delegated Authority is requested to the SMT to agree any changes to the Contact Change Notice</w:t>
      </w:r>
      <w:r w:rsidR="000D19F1">
        <w:rPr>
          <w:rFonts w:ascii="Arial" w:hAnsi="Arial" w:cs="Arial"/>
          <w:bCs/>
          <w:sz w:val="24"/>
          <w:szCs w:val="24"/>
        </w:rPr>
        <w:t xml:space="preserve"> </w:t>
      </w:r>
      <w:r>
        <w:rPr>
          <w:rFonts w:ascii="Arial" w:hAnsi="Arial" w:cs="Arial"/>
          <w:bCs/>
          <w:sz w:val="24"/>
          <w:szCs w:val="24"/>
        </w:rPr>
        <w:t>(CNN) and the Head of Finance &amp; IT to sign the updated CNN on behalf of PHA.</w:t>
      </w:r>
    </w:p>
    <w:p w14:paraId="41983E74" w14:textId="77777777" w:rsidR="00373724" w:rsidRPr="00574CD9" w:rsidRDefault="00373724" w:rsidP="00373724">
      <w:pPr>
        <w:pStyle w:val="NoSpacing"/>
        <w:rPr>
          <w:color w:val="FF0000"/>
        </w:rPr>
      </w:pPr>
    </w:p>
    <w:p w14:paraId="4B7A5F12" w14:textId="143A68AA" w:rsidR="00F03A76" w:rsidRPr="003F11F9" w:rsidRDefault="00063419" w:rsidP="00BA3407">
      <w:pPr>
        <w:ind w:left="567" w:hanging="567"/>
        <w:rPr>
          <w:rFonts w:ascii="Arial" w:hAnsi="Arial" w:cs="Arial"/>
          <w:b/>
          <w:sz w:val="24"/>
          <w:szCs w:val="24"/>
        </w:rPr>
      </w:pPr>
      <w:r>
        <w:rPr>
          <w:rFonts w:ascii="Arial" w:hAnsi="Arial" w:cs="Arial"/>
          <w:b/>
          <w:sz w:val="24"/>
          <w:szCs w:val="24"/>
        </w:rPr>
        <w:t>2</w:t>
      </w:r>
      <w:r w:rsidR="00BA3407" w:rsidRPr="00BA3407">
        <w:rPr>
          <w:rFonts w:ascii="Arial" w:hAnsi="Arial" w:cs="Arial"/>
          <w:b/>
          <w:sz w:val="24"/>
          <w:szCs w:val="24"/>
        </w:rPr>
        <w:t>.</w:t>
      </w:r>
      <w:r w:rsidR="00BA3407" w:rsidRPr="00BA3407">
        <w:rPr>
          <w:rFonts w:ascii="Arial" w:hAnsi="Arial" w:cs="Arial"/>
          <w:b/>
          <w:sz w:val="24"/>
          <w:szCs w:val="24"/>
        </w:rPr>
        <w:tab/>
      </w:r>
      <w:r w:rsidR="00F03A76" w:rsidRPr="003F11F9">
        <w:rPr>
          <w:rFonts w:ascii="Arial" w:hAnsi="Arial" w:cs="Arial"/>
          <w:b/>
          <w:sz w:val="24"/>
          <w:szCs w:val="24"/>
        </w:rPr>
        <w:t>Update to Project</w:t>
      </w:r>
    </w:p>
    <w:p w14:paraId="570E7678" w14:textId="26252196" w:rsidR="005D6113" w:rsidRDefault="00063419" w:rsidP="00783118">
      <w:pPr>
        <w:ind w:left="567" w:hanging="567"/>
        <w:rPr>
          <w:rFonts w:ascii="Arial" w:hAnsi="Arial" w:cs="Arial"/>
          <w:sz w:val="24"/>
          <w:szCs w:val="24"/>
        </w:rPr>
      </w:pPr>
      <w:r>
        <w:rPr>
          <w:rFonts w:ascii="Arial" w:hAnsi="Arial" w:cs="Arial"/>
          <w:sz w:val="24"/>
          <w:szCs w:val="24"/>
        </w:rPr>
        <w:t>2</w:t>
      </w:r>
      <w:r w:rsidR="00F03A76" w:rsidRPr="003F11F9">
        <w:rPr>
          <w:rFonts w:ascii="Arial" w:hAnsi="Arial" w:cs="Arial"/>
          <w:sz w:val="24"/>
          <w:szCs w:val="24"/>
        </w:rPr>
        <w:t>.1</w:t>
      </w:r>
      <w:r w:rsidR="00F03A76" w:rsidRPr="003F11F9">
        <w:rPr>
          <w:rFonts w:ascii="Arial" w:hAnsi="Arial" w:cs="Arial"/>
          <w:sz w:val="24"/>
          <w:szCs w:val="24"/>
        </w:rPr>
        <w:tab/>
      </w:r>
      <w:r w:rsidR="00783118">
        <w:rPr>
          <w:rFonts w:ascii="Arial" w:hAnsi="Arial" w:cs="Arial"/>
          <w:sz w:val="24"/>
          <w:szCs w:val="24"/>
        </w:rPr>
        <w:t xml:space="preserve">The CX Phase </w:t>
      </w:r>
      <w:r w:rsidR="000D19F1">
        <w:rPr>
          <w:rFonts w:ascii="Arial" w:hAnsi="Arial" w:cs="Arial"/>
          <w:sz w:val="24"/>
          <w:szCs w:val="24"/>
        </w:rPr>
        <w:t xml:space="preserve">1 of the </w:t>
      </w:r>
      <w:r w:rsidR="00783118">
        <w:rPr>
          <w:rFonts w:ascii="Arial" w:hAnsi="Arial" w:cs="Arial"/>
          <w:sz w:val="24"/>
          <w:szCs w:val="24"/>
        </w:rPr>
        <w:t xml:space="preserve">Project went live on 14/2/22. Although staff will continue to also update UH to the end of February, to allow time to make some final changes to CX processes, add in back dated data and for staff to familiarise themselves with </w:t>
      </w:r>
      <w:r w:rsidR="000D19F1">
        <w:rPr>
          <w:rFonts w:ascii="Arial" w:hAnsi="Arial" w:cs="Arial"/>
          <w:sz w:val="24"/>
          <w:szCs w:val="24"/>
        </w:rPr>
        <w:t xml:space="preserve">CX </w:t>
      </w:r>
      <w:r w:rsidR="00783118">
        <w:rPr>
          <w:rFonts w:ascii="Arial" w:hAnsi="Arial" w:cs="Arial"/>
          <w:sz w:val="24"/>
          <w:szCs w:val="24"/>
        </w:rPr>
        <w:t>with real data.</w:t>
      </w:r>
      <w:r w:rsidR="001969F1">
        <w:rPr>
          <w:rFonts w:ascii="Arial" w:hAnsi="Arial" w:cs="Arial"/>
          <w:sz w:val="24"/>
          <w:szCs w:val="24"/>
        </w:rPr>
        <w:t xml:space="preserve"> Also training on CX will be expanded to more users in March 22</w:t>
      </w:r>
      <w:r w:rsidR="003248E4">
        <w:rPr>
          <w:rFonts w:ascii="Arial" w:hAnsi="Arial" w:cs="Arial"/>
          <w:sz w:val="24"/>
          <w:szCs w:val="24"/>
        </w:rPr>
        <w:t xml:space="preserve">, </w:t>
      </w:r>
      <w:r w:rsidR="000D19F1">
        <w:rPr>
          <w:rFonts w:ascii="Arial" w:hAnsi="Arial" w:cs="Arial"/>
          <w:sz w:val="24"/>
          <w:szCs w:val="24"/>
        </w:rPr>
        <w:t xml:space="preserve">for those users </w:t>
      </w:r>
      <w:r w:rsidR="003248E4">
        <w:rPr>
          <w:rFonts w:ascii="Arial" w:hAnsi="Arial" w:cs="Arial"/>
          <w:sz w:val="24"/>
          <w:szCs w:val="24"/>
        </w:rPr>
        <w:t>that were not considered critical to Phase 1 Go Live.</w:t>
      </w:r>
    </w:p>
    <w:p w14:paraId="0053A8C9" w14:textId="12C13508" w:rsidR="007F704E" w:rsidRDefault="00063419" w:rsidP="005D6113">
      <w:pPr>
        <w:ind w:left="567" w:hanging="567"/>
        <w:rPr>
          <w:rFonts w:ascii="Arial" w:hAnsi="Arial" w:cs="Arial"/>
          <w:sz w:val="24"/>
          <w:szCs w:val="24"/>
        </w:rPr>
      </w:pPr>
      <w:r>
        <w:rPr>
          <w:rFonts w:ascii="Arial" w:hAnsi="Arial" w:cs="Arial"/>
          <w:sz w:val="24"/>
          <w:szCs w:val="24"/>
        </w:rPr>
        <w:t>2</w:t>
      </w:r>
      <w:r w:rsidR="005D6113">
        <w:rPr>
          <w:rFonts w:ascii="Arial" w:hAnsi="Arial" w:cs="Arial"/>
          <w:sz w:val="24"/>
          <w:szCs w:val="24"/>
        </w:rPr>
        <w:t>.</w:t>
      </w:r>
      <w:r w:rsidR="00783118">
        <w:rPr>
          <w:rFonts w:ascii="Arial" w:hAnsi="Arial" w:cs="Arial"/>
          <w:sz w:val="24"/>
          <w:szCs w:val="24"/>
        </w:rPr>
        <w:t>2</w:t>
      </w:r>
      <w:r w:rsidR="005D6113">
        <w:rPr>
          <w:rFonts w:ascii="Arial" w:hAnsi="Arial" w:cs="Arial"/>
          <w:sz w:val="24"/>
          <w:szCs w:val="24"/>
        </w:rPr>
        <w:tab/>
      </w:r>
      <w:r w:rsidR="00BA3407">
        <w:rPr>
          <w:rFonts w:ascii="Arial" w:hAnsi="Arial" w:cs="Arial"/>
          <w:sz w:val="24"/>
          <w:szCs w:val="24"/>
        </w:rPr>
        <w:t xml:space="preserve">The Allocation </w:t>
      </w:r>
      <w:r w:rsidR="00AF380F">
        <w:rPr>
          <w:rFonts w:ascii="Arial" w:hAnsi="Arial" w:cs="Arial"/>
          <w:sz w:val="24"/>
          <w:szCs w:val="24"/>
        </w:rPr>
        <w:t>(both</w:t>
      </w:r>
      <w:r w:rsidR="00BA3407">
        <w:rPr>
          <w:rFonts w:ascii="Arial" w:hAnsi="Arial" w:cs="Arial"/>
          <w:sz w:val="24"/>
          <w:szCs w:val="24"/>
        </w:rPr>
        <w:t xml:space="preserve"> the Allocation Module and data </w:t>
      </w:r>
      <w:r w:rsidR="00AF380F">
        <w:rPr>
          <w:rFonts w:ascii="Arial" w:hAnsi="Arial" w:cs="Arial"/>
          <w:sz w:val="24"/>
          <w:szCs w:val="24"/>
        </w:rPr>
        <w:t>migration of</w:t>
      </w:r>
      <w:r w:rsidR="00BA3407">
        <w:rPr>
          <w:rFonts w:ascii="Arial" w:hAnsi="Arial" w:cs="Arial"/>
          <w:sz w:val="24"/>
          <w:szCs w:val="24"/>
        </w:rPr>
        <w:t xml:space="preserve"> Allocation information from </w:t>
      </w:r>
      <w:r w:rsidR="00AF380F">
        <w:rPr>
          <w:rFonts w:ascii="Arial" w:hAnsi="Arial" w:cs="Arial"/>
          <w:sz w:val="24"/>
          <w:szCs w:val="24"/>
        </w:rPr>
        <w:t>UH)</w:t>
      </w:r>
      <w:r w:rsidR="00BA3407">
        <w:rPr>
          <w:rFonts w:ascii="Arial" w:hAnsi="Arial" w:cs="Arial"/>
          <w:sz w:val="24"/>
          <w:szCs w:val="24"/>
        </w:rPr>
        <w:t xml:space="preserve"> is the key area</w:t>
      </w:r>
      <w:r w:rsidR="00181B3B">
        <w:rPr>
          <w:rFonts w:ascii="Arial" w:hAnsi="Arial" w:cs="Arial"/>
          <w:sz w:val="24"/>
          <w:szCs w:val="24"/>
        </w:rPr>
        <w:t xml:space="preserve"> </w:t>
      </w:r>
      <w:r w:rsidR="007F704E">
        <w:rPr>
          <w:rFonts w:ascii="Arial" w:hAnsi="Arial" w:cs="Arial"/>
          <w:sz w:val="24"/>
          <w:szCs w:val="24"/>
        </w:rPr>
        <w:t>outstanding</w:t>
      </w:r>
      <w:r w:rsidR="00BA3407">
        <w:rPr>
          <w:rFonts w:ascii="Arial" w:hAnsi="Arial" w:cs="Arial"/>
          <w:sz w:val="24"/>
          <w:szCs w:val="24"/>
        </w:rPr>
        <w:t xml:space="preserve"> still to be resolved. </w:t>
      </w:r>
      <w:r w:rsidR="007F704E">
        <w:rPr>
          <w:rFonts w:ascii="Arial" w:hAnsi="Arial" w:cs="Arial"/>
          <w:sz w:val="24"/>
          <w:szCs w:val="24"/>
        </w:rPr>
        <w:t>It was agreed that t</w:t>
      </w:r>
      <w:r w:rsidR="00BA3407">
        <w:rPr>
          <w:rFonts w:ascii="Arial" w:hAnsi="Arial" w:cs="Arial"/>
          <w:sz w:val="24"/>
          <w:szCs w:val="24"/>
        </w:rPr>
        <w:t xml:space="preserve">he Go Live of the Allocations module </w:t>
      </w:r>
      <w:r w:rsidR="007F704E">
        <w:rPr>
          <w:rFonts w:ascii="Arial" w:hAnsi="Arial" w:cs="Arial"/>
          <w:sz w:val="24"/>
          <w:szCs w:val="24"/>
        </w:rPr>
        <w:t xml:space="preserve">would be </w:t>
      </w:r>
      <w:r w:rsidR="00AF380F">
        <w:rPr>
          <w:rFonts w:ascii="Arial" w:hAnsi="Arial" w:cs="Arial"/>
          <w:sz w:val="24"/>
          <w:szCs w:val="24"/>
        </w:rPr>
        <w:t>delayed,</w:t>
      </w:r>
      <w:r w:rsidR="00181B3B">
        <w:rPr>
          <w:rFonts w:ascii="Arial" w:hAnsi="Arial" w:cs="Arial"/>
          <w:sz w:val="24"/>
          <w:szCs w:val="24"/>
        </w:rPr>
        <w:t xml:space="preserve"> as further work is required by the consultant.</w:t>
      </w:r>
      <w:r w:rsidR="007F704E">
        <w:rPr>
          <w:rFonts w:ascii="Arial" w:hAnsi="Arial" w:cs="Arial"/>
          <w:sz w:val="24"/>
          <w:szCs w:val="24"/>
        </w:rPr>
        <w:t xml:space="preserve"> </w:t>
      </w:r>
      <w:r w:rsidR="00783118">
        <w:rPr>
          <w:rFonts w:ascii="Arial" w:hAnsi="Arial" w:cs="Arial"/>
          <w:sz w:val="24"/>
          <w:szCs w:val="24"/>
        </w:rPr>
        <w:t xml:space="preserve">This set up will commence again in March and once working satisfactorily we will agree a Go live date for this to </w:t>
      </w:r>
      <w:r w:rsidR="000D19F1">
        <w:rPr>
          <w:rFonts w:ascii="Arial" w:hAnsi="Arial" w:cs="Arial"/>
          <w:sz w:val="24"/>
          <w:szCs w:val="24"/>
        </w:rPr>
        <w:t xml:space="preserve">also </w:t>
      </w:r>
      <w:r w:rsidR="00783118">
        <w:rPr>
          <w:rFonts w:ascii="Arial" w:hAnsi="Arial" w:cs="Arial"/>
          <w:sz w:val="24"/>
          <w:szCs w:val="24"/>
        </w:rPr>
        <w:t>move to CX.</w:t>
      </w:r>
      <w:r w:rsidR="003248E4">
        <w:rPr>
          <w:rFonts w:ascii="Arial" w:hAnsi="Arial" w:cs="Arial"/>
          <w:sz w:val="24"/>
          <w:szCs w:val="24"/>
        </w:rPr>
        <w:t xml:space="preserve"> Migration of data to be resolved for the revised CNN, noted below.</w:t>
      </w:r>
    </w:p>
    <w:p w14:paraId="2D92871E" w14:textId="4DBA4CAD" w:rsidR="00F5072E" w:rsidRPr="00063419" w:rsidRDefault="00063419" w:rsidP="00063419">
      <w:pPr>
        <w:ind w:left="567" w:hanging="567"/>
        <w:rPr>
          <w:rFonts w:ascii="Arial" w:hAnsi="Arial" w:cs="Arial"/>
          <w:strike/>
          <w:sz w:val="24"/>
          <w:szCs w:val="24"/>
        </w:rPr>
      </w:pPr>
      <w:r>
        <w:rPr>
          <w:rFonts w:ascii="Arial" w:hAnsi="Arial" w:cs="Arial"/>
          <w:sz w:val="24"/>
          <w:szCs w:val="24"/>
        </w:rPr>
        <w:t>2</w:t>
      </w:r>
      <w:r w:rsidR="007F704E">
        <w:rPr>
          <w:rFonts w:ascii="Arial" w:hAnsi="Arial" w:cs="Arial"/>
          <w:sz w:val="24"/>
          <w:szCs w:val="24"/>
        </w:rPr>
        <w:t>.</w:t>
      </w:r>
      <w:r>
        <w:rPr>
          <w:rFonts w:ascii="Arial" w:hAnsi="Arial" w:cs="Arial"/>
          <w:sz w:val="24"/>
          <w:szCs w:val="24"/>
        </w:rPr>
        <w:t>3</w:t>
      </w:r>
      <w:r>
        <w:rPr>
          <w:rFonts w:ascii="Arial" w:hAnsi="Arial" w:cs="Arial"/>
          <w:sz w:val="24"/>
          <w:szCs w:val="24"/>
        </w:rPr>
        <w:tab/>
        <w:t>The next stage in March is also to agree a plan to implement Phase 2</w:t>
      </w:r>
    </w:p>
    <w:p w14:paraId="00B7B7F5" w14:textId="6C7B8975" w:rsidR="00063419" w:rsidRDefault="00063419" w:rsidP="005E4DC8">
      <w:pPr>
        <w:ind w:left="567" w:hanging="567"/>
        <w:rPr>
          <w:rFonts w:ascii="Arial" w:hAnsi="Arial" w:cs="Arial"/>
          <w:b/>
          <w:sz w:val="24"/>
          <w:szCs w:val="24"/>
        </w:rPr>
      </w:pPr>
      <w:r>
        <w:rPr>
          <w:rFonts w:ascii="Arial" w:hAnsi="Arial" w:cs="Arial"/>
          <w:b/>
          <w:sz w:val="24"/>
          <w:szCs w:val="24"/>
        </w:rPr>
        <w:t>3.</w:t>
      </w:r>
      <w:r>
        <w:rPr>
          <w:rFonts w:ascii="Arial" w:hAnsi="Arial" w:cs="Arial"/>
          <w:b/>
          <w:sz w:val="24"/>
          <w:szCs w:val="24"/>
        </w:rPr>
        <w:tab/>
        <w:t xml:space="preserve">Payments </w:t>
      </w:r>
      <w:r w:rsidR="005E4DC8">
        <w:rPr>
          <w:rFonts w:ascii="Arial" w:hAnsi="Arial" w:cs="Arial"/>
          <w:b/>
          <w:sz w:val="24"/>
          <w:szCs w:val="24"/>
        </w:rPr>
        <w:t>Phase 1</w:t>
      </w:r>
    </w:p>
    <w:p w14:paraId="5FA085C3" w14:textId="4B51E4D9" w:rsidR="005E4DC8" w:rsidRDefault="00063419" w:rsidP="005E4DC8">
      <w:pPr>
        <w:ind w:left="567" w:hanging="567"/>
        <w:rPr>
          <w:rFonts w:ascii="Arial" w:hAnsi="Arial" w:cs="Arial"/>
          <w:bCs/>
          <w:sz w:val="24"/>
          <w:szCs w:val="24"/>
        </w:rPr>
      </w:pPr>
      <w:r>
        <w:rPr>
          <w:rFonts w:ascii="Arial" w:hAnsi="Arial" w:cs="Arial"/>
          <w:bCs/>
          <w:sz w:val="24"/>
          <w:szCs w:val="24"/>
        </w:rPr>
        <w:t>3.1</w:t>
      </w:r>
      <w:r>
        <w:rPr>
          <w:rFonts w:ascii="Arial" w:hAnsi="Arial" w:cs="Arial"/>
          <w:bCs/>
          <w:sz w:val="24"/>
          <w:szCs w:val="24"/>
        </w:rPr>
        <w:tab/>
        <w:t>This year</w:t>
      </w:r>
      <w:r w:rsidR="005E4DC8">
        <w:rPr>
          <w:rFonts w:ascii="Arial" w:hAnsi="Arial" w:cs="Arial"/>
          <w:bCs/>
          <w:sz w:val="24"/>
          <w:szCs w:val="24"/>
        </w:rPr>
        <w:t xml:space="preserve"> £34,027 + Vat has been paid for completion of the user acceptance stage and we are due to pay a further £ X + vat for Go Live (invoice due week of 14/2/22). With the balance of phase 1 due a month later.</w:t>
      </w:r>
    </w:p>
    <w:p w14:paraId="1FC53E5D" w14:textId="6CF62DFB" w:rsidR="000D19F1" w:rsidRDefault="000D19F1" w:rsidP="005E4DC8">
      <w:pPr>
        <w:ind w:left="567" w:hanging="567"/>
        <w:rPr>
          <w:rFonts w:ascii="Arial" w:hAnsi="Arial" w:cs="Arial"/>
          <w:bCs/>
          <w:sz w:val="24"/>
          <w:szCs w:val="24"/>
        </w:rPr>
      </w:pPr>
    </w:p>
    <w:p w14:paraId="3B4ED8DD" w14:textId="77777777" w:rsidR="000D19F1" w:rsidRPr="00063419" w:rsidRDefault="000D19F1" w:rsidP="005E4DC8">
      <w:pPr>
        <w:ind w:left="567" w:hanging="567"/>
        <w:rPr>
          <w:rFonts w:ascii="Arial" w:hAnsi="Arial" w:cs="Arial"/>
          <w:bCs/>
          <w:sz w:val="24"/>
          <w:szCs w:val="24"/>
        </w:rPr>
      </w:pPr>
    </w:p>
    <w:p w14:paraId="58437B75" w14:textId="2A8CF278" w:rsidR="00F5072E" w:rsidRDefault="00F5072E" w:rsidP="005E4DC8">
      <w:pPr>
        <w:pStyle w:val="Heading2"/>
        <w:numPr>
          <w:ilvl w:val="0"/>
          <w:numId w:val="39"/>
        </w:numPr>
        <w:spacing w:after="240"/>
        <w:ind w:left="567" w:hanging="567"/>
        <w:rPr>
          <w:rFonts w:ascii="Arial" w:hAnsi="Arial" w:cs="Arial"/>
          <w:sz w:val="24"/>
          <w:szCs w:val="24"/>
        </w:rPr>
      </w:pPr>
      <w:r>
        <w:rPr>
          <w:rFonts w:ascii="Arial" w:hAnsi="Arial" w:cs="Arial"/>
          <w:sz w:val="24"/>
          <w:szCs w:val="24"/>
        </w:rPr>
        <w:lastRenderedPageBreak/>
        <w:t>Update on CX Contract Change Notice</w:t>
      </w:r>
    </w:p>
    <w:p w14:paraId="2FE4232D" w14:textId="5FBABB35" w:rsidR="00F5072E" w:rsidRDefault="001969F1" w:rsidP="00F5072E">
      <w:pPr>
        <w:ind w:left="567" w:hanging="567"/>
        <w:rPr>
          <w:rFonts w:ascii="Arial" w:hAnsi="Arial" w:cs="Arial"/>
          <w:sz w:val="24"/>
          <w:szCs w:val="24"/>
        </w:rPr>
      </w:pPr>
      <w:r>
        <w:rPr>
          <w:rFonts w:ascii="Arial" w:hAnsi="Arial" w:cs="Arial"/>
          <w:sz w:val="24"/>
          <w:szCs w:val="24"/>
        </w:rPr>
        <w:t>4</w:t>
      </w:r>
      <w:r w:rsidR="00F5072E">
        <w:rPr>
          <w:rFonts w:ascii="Arial" w:hAnsi="Arial" w:cs="Arial"/>
          <w:sz w:val="24"/>
          <w:szCs w:val="24"/>
        </w:rPr>
        <w:t>.1</w:t>
      </w:r>
      <w:r w:rsidR="00F5072E">
        <w:rPr>
          <w:rFonts w:ascii="Arial" w:hAnsi="Arial" w:cs="Arial"/>
          <w:sz w:val="24"/>
          <w:szCs w:val="24"/>
        </w:rPr>
        <w:tab/>
      </w:r>
      <w:r w:rsidR="00F5072E" w:rsidRPr="00ED5773">
        <w:rPr>
          <w:rFonts w:ascii="Arial" w:hAnsi="Arial" w:cs="Arial"/>
          <w:sz w:val="24"/>
          <w:szCs w:val="24"/>
        </w:rPr>
        <w:t>The</w:t>
      </w:r>
      <w:r w:rsidR="005E4DC8">
        <w:rPr>
          <w:rFonts w:ascii="Arial" w:hAnsi="Arial" w:cs="Arial"/>
          <w:sz w:val="24"/>
          <w:szCs w:val="24"/>
        </w:rPr>
        <w:t xml:space="preserve"> previous </w:t>
      </w:r>
      <w:r w:rsidR="00F5072E" w:rsidRPr="00ED5773">
        <w:rPr>
          <w:rFonts w:ascii="Arial" w:hAnsi="Arial" w:cs="Arial"/>
          <w:sz w:val="24"/>
          <w:szCs w:val="24"/>
        </w:rPr>
        <w:t>CNN was agreed and signed base</w:t>
      </w:r>
      <w:r w:rsidR="00F5072E">
        <w:rPr>
          <w:rFonts w:ascii="Arial" w:hAnsi="Arial" w:cs="Arial"/>
          <w:sz w:val="24"/>
          <w:szCs w:val="24"/>
        </w:rPr>
        <w:t>d</w:t>
      </w:r>
      <w:r w:rsidR="00F5072E" w:rsidRPr="00ED5773">
        <w:rPr>
          <w:rFonts w:ascii="Arial" w:hAnsi="Arial" w:cs="Arial"/>
          <w:sz w:val="24"/>
          <w:szCs w:val="24"/>
        </w:rPr>
        <w:t xml:space="preserve"> on the updated plan Project plan v7.7 dated 1st June 2020.</w:t>
      </w:r>
      <w:r w:rsidR="00F5072E">
        <w:rPr>
          <w:rFonts w:ascii="Arial" w:hAnsi="Arial" w:cs="Arial"/>
          <w:sz w:val="24"/>
          <w:szCs w:val="24"/>
        </w:rPr>
        <w:t xml:space="preserve">  </w:t>
      </w:r>
    </w:p>
    <w:p w14:paraId="7ED294F1" w14:textId="66E09AA0" w:rsidR="00F5072E" w:rsidRDefault="001969F1" w:rsidP="00063419">
      <w:pPr>
        <w:ind w:left="567" w:hanging="567"/>
        <w:rPr>
          <w:rFonts w:ascii="Arial" w:hAnsi="Arial" w:cs="Arial"/>
          <w:sz w:val="24"/>
          <w:szCs w:val="24"/>
        </w:rPr>
      </w:pPr>
      <w:r>
        <w:rPr>
          <w:rFonts w:ascii="Arial" w:hAnsi="Arial" w:cs="Arial"/>
          <w:sz w:val="24"/>
          <w:szCs w:val="24"/>
        </w:rPr>
        <w:t>4</w:t>
      </w:r>
      <w:r w:rsidR="00F5072E">
        <w:rPr>
          <w:rFonts w:ascii="Arial" w:hAnsi="Arial" w:cs="Arial"/>
          <w:sz w:val="24"/>
          <w:szCs w:val="24"/>
        </w:rPr>
        <w:t>.2</w:t>
      </w:r>
      <w:r w:rsidR="005E4DC8">
        <w:rPr>
          <w:rFonts w:ascii="Arial" w:hAnsi="Arial" w:cs="Arial"/>
          <w:sz w:val="24"/>
          <w:szCs w:val="24"/>
        </w:rPr>
        <w:tab/>
      </w:r>
      <w:proofErr w:type="spellStart"/>
      <w:r w:rsidR="005E4DC8">
        <w:rPr>
          <w:rFonts w:ascii="Arial" w:hAnsi="Arial" w:cs="Arial"/>
          <w:sz w:val="24"/>
          <w:szCs w:val="24"/>
        </w:rPr>
        <w:t>Civica</w:t>
      </w:r>
      <w:proofErr w:type="spellEnd"/>
      <w:r w:rsidR="005E4DC8">
        <w:rPr>
          <w:rFonts w:ascii="Arial" w:hAnsi="Arial" w:cs="Arial"/>
          <w:sz w:val="24"/>
          <w:szCs w:val="24"/>
        </w:rPr>
        <w:t xml:space="preserve"> have requested a further CNN is </w:t>
      </w:r>
      <w:r w:rsidR="00514AEC">
        <w:rPr>
          <w:rFonts w:ascii="Arial" w:hAnsi="Arial" w:cs="Arial"/>
          <w:sz w:val="24"/>
          <w:szCs w:val="24"/>
        </w:rPr>
        <w:t>agree</w:t>
      </w:r>
      <w:r w:rsidR="000D19F1">
        <w:rPr>
          <w:rFonts w:ascii="Arial" w:hAnsi="Arial" w:cs="Arial"/>
          <w:sz w:val="24"/>
          <w:szCs w:val="24"/>
        </w:rPr>
        <w:t>d</w:t>
      </w:r>
      <w:r w:rsidR="00514AEC">
        <w:rPr>
          <w:rFonts w:ascii="Arial" w:hAnsi="Arial" w:cs="Arial"/>
          <w:sz w:val="24"/>
          <w:szCs w:val="24"/>
        </w:rPr>
        <w:t xml:space="preserve"> for CX Phase 2. </w:t>
      </w:r>
    </w:p>
    <w:p w14:paraId="7559AAC8" w14:textId="31A98130" w:rsidR="00514AEC" w:rsidRDefault="00514AEC" w:rsidP="00063419">
      <w:pPr>
        <w:ind w:left="567" w:hanging="567"/>
        <w:rPr>
          <w:rFonts w:ascii="Arial" w:hAnsi="Arial" w:cs="Arial"/>
          <w:sz w:val="24"/>
          <w:szCs w:val="24"/>
        </w:rPr>
      </w:pPr>
      <w:r>
        <w:rPr>
          <w:rFonts w:ascii="Arial" w:hAnsi="Arial" w:cs="Arial"/>
          <w:sz w:val="24"/>
          <w:szCs w:val="24"/>
        </w:rPr>
        <w:tab/>
        <w:t>1) to set up the timetable for Phase 2. Which we agree with.</w:t>
      </w:r>
    </w:p>
    <w:p w14:paraId="4ECDD47F" w14:textId="645C9DCA" w:rsidR="00514AEC" w:rsidRDefault="00514AEC" w:rsidP="00063419">
      <w:pPr>
        <w:ind w:left="567" w:hanging="567"/>
        <w:rPr>
          <w:rFonts w:ascii="Arial" w:hAnsi="Arial" w:cs="Arial"/>
          <w:sz w:val="24"/>
          <w:szCs w:val="24"/>
        </w:rPr>
      </w:pPr>
      <w:r>
        <w:rPr>
          <w:rFonts w:ascii="Arial" w:hAnsi="Arial" w:cs="Arial"/>
          <w:sz w:val="24"/>
          <w:szCs w:val="24"/>
        </w:rPr>
        <w:tab/>
        <w:t>2) for PHA to agree to amend the original contract</w:t>
      </w:r>
      <w:r w:rsidR="000D19F1">
        <w:rPr>
          <w:rFonts w:ascii="Arial" w:hAnsi="Arial" w:cs="Arial"/>
          <w:sz w:val="24"/>
          <w:szCs w:val="24"/>
        </w:rPr>
        <w:t xml:space="preserve">, </w:t>
      </w:r>
      <w:r>
        <w:rPr>
          <w:rFonts w:ascii="Arial" w:hAnsi="Arial" w:cs="Arial"/>
          <w:sz w:val="24"/>
          <w:szCs w:val="24"/>
        </w:rPr>
        <w:t xml:space="preserve">to </w:t>
      </w:r>
      <w:r w:rsidR="003248E4">
        <w:rPr>
          <w:rFonts w:ascii="Arial" w:hAnsi="Arial" w:cs="Arial"/>
          <w:sz w:val="24"/>
          <w:szCs w:val="24"/>
        </w:rPr>
        <w:t>limit</w:t>
      </w:r>
      <w:r>
        <w:rPr>
          <w:rFonts w:ascii="Arial" w:hAnsi="Arial" w:cs="Arial"/>
          <w:sz w:val="24"/>
          <w:szCs w:val="24"/>
        </w:rPr>
        <w:t xml:space="preserve"> the time allocated to the Phase 2 project by </w:t>
      </w:r>
      <w:proofErr w:type="spellStart"/>
      <w:r>
        <w:rPr>
          <w:rFonts w:ascii="Arial" w:hAnsi="Arial" w:cs="Arial"/>
          <w:sz w:val="24"/>
          <w:szCs w:val="24"/>
        </w:rPr>
        <w:t>Civica</w:t>
      </w:r>
      <w:proofErr w:type="spellEnd"/>
      <w:r w:rsidR="00C805B8">
        <w:rPr>
          <w:rFonts w:ascii="Arial" w:hAnsi="Arial" w:cs="Arial"/>
          <w:sz w:val="24"/>
          <w:szCs w:val="24"/>
        </w:rPr>
        <w:t xml:space="preserve"> as follows:</w:t>
      </w:r>
    </w:p>
    <w:p w14:paraId="107335DA" w14:textId="77777777" w:rsidR="00336B8E" w:rsidRDefault="00336B8E" w:rsidP="00336B8E">
      <w:pPr>
        <w:pStyle w:val="NoSpacing"/>
        <w:ind w:firstLine="720"/>
        <w:rPr>
          <w:rFonts w:ascii="Arial" w:hAnsi="Arial" w:cs="Arial"/>
          <w:sz w:val="24"/>
          <w:szCs w:val="24"/>
        </w:rPr>
      </w:pPr>
      <w:r w:rsidRPr="00336B8E">
        <w:rPr>
          <w:rFonts w:ascii="Arial" w:hAnsi="Arial" w:cs="Arial"/>
          <w:sz w:val="24"/>
          <w:szCs w:val="24"/>
        </w:rPr>
        <w:t xml:space="preserve">Project Resource from CX limited to </w:t>
      </w:r>
      <w:r w:rsidR="00C805B8" w:rsidRPr="00336B8E">
        <w:rPr>
          <w:rFonts w:ascii="Arial" w:hAnsi="Arial" w:cs="Arial"/>
          <w:sz w:val="24"/>
          <w:szCs w:val="24"/>
        </w:rPr>
        <w:t xml:space="preserve">32 days in total, broken down as follows: </w:t>
      </w:r>
    </w:p>
    <w:p w14:paraId="0D97535E" w14:textId="258C3FAA" w:rsidR="00336B8E" w:rsidRPr="00336B8E" w:rsidRDefault="00C805B8" w:rsidP="00336B8E">
      <w:pPr>
        <w:pStyle w:val="NoSpacing"/>
        <w:numPr>
          <w:ilvl w:val="1"/>
          <w:numId w:val="41"/>
        </w:numPr>
        <w:rPr>
          <w:rFonts w:ascii="Arial" w:hAnsi="Arial" w:cs="Arial"/>
          <w:sz w:val="24"/>
          <w:szCs w:val="24"/>
        </w:rPr>
      </w:pPr>
      <w:r w:rsidRPr="00336B8E">
        <w:rPr>
          <w:rFonts w:ascii="Arial" w:hAnsi="Arial" w:cs="Arial"/>
          <w:sz w:val="24"/>
          <w:szCs w:val="24"/>
        </w:rPr>
        <w:t xml:space="preserve">Project Management Support – 12 days (0.5 days per week) </w:t>
      </w:r>
    </w:p>
    <w:p w14:paraId="501E339C" w14:textId="2240089E" w:rsidR="00C805B8" w:rsidRPr="00336B8E" w:rsidRDefault="00C805B8" w:rsidP="00336B8E">
      <w:pPr>
        <w:pStyle w:val="NoSpacing"/>
        <w:numPr>
          <w:ilvl w:val="1"/>
          <w:numId w:val="41"/>
        </w:numPr>
        <w:rPr>
          <w:rFonts w:ascii="Arial" w:hAnsi="Arial" w:cs="Arial"/>
          <w:sz w:val="24"/>
          <w:szCs w:val="24"/>
        </w:rPr>
      </w:pPr>
      <w:r w:rsidRPr="00336B8E">
        <w:rPr>
          <w:rFonts w:ascii="Arial" w:hAnsi="Arial" w:cs="Arial"/>
          <w:sz w:val="24"/>
          <w:szCs w:val="24"/>
        </w:rPr>
        <w:t>Consultancy Support – 20 days</w:t>
      </w:r>
    </w:p>
    <w:p w14:paraId="46C132B8" w14:textId="0EF0EDDC" w:rsidR="00C805B8" w:rsidRPr="00336B8E" w:rsidRDefault="00336B8E" w:rsidP="00336B8E">
      <w:pPr>
        <w:ind w:left="567"/>
        <w:rPr>
          <w:rFonts w:ascii="Arial" w:hAnsi="Arial" w:cs="Arial"/>
          <w:sz w:val="24"/>
          <w:szCs w:val="24"/>
        </w:rPr>
      </w:pPr>
      <w:r w:rsidRPr="00336B8E">
        <w:rPr>
          <w:rFonts w:ascii="Arial" w:hAnsi="Arial" w:cs="Arial"/>
          <w:sz w:val="24"/>
          <w:szCs w:val="24"/>
        </w:rPr>
        <w:t xml:space="preserve">Should Paisley HA require additional support from </w:t>
      </w:r>
      <w:proofErr w:type="spellStart"/>
      <w:r w:rsidRPr="00336B8E">
        <w:rPr>
          <w:rFonts w:ascii="Arial" w:hAnsi="Arial" w:cs="Arial"/>
          <w:sz w:val="24"/>
          <w:szCs w:val="24"/>
        </w:rPr>
        <w:t>Civica</w:t>
      </w:r>
      <w:proofErr w:type="spellEnd"/>
      <w:r w:rsidRPr="00336B8E">
        <w:rPr>
          <w:rFonts w:ascii="Arial" w:hAnsi="Arial" w:cs="Arial"/>
          <w:sz w:val="24"/>
          <w:szCs w:val="24"/>
        </w:rPr>
        <w:t>, each additional day will be charged at the contracted daily rate of £1,325 per day.</w:t>
      </w:r>
    </w:p>
    <w:p w14:paraId="340BD244" w14:textId="226DA238" w:rsidR="00514AEC" w:rsidRDefault="001969F1" w:rsidP="00063419">
      <w:pPr>
        <w:ind w:left="567" w:hanging="567"/>
        <w:rPr>
          <w:rFonts w:ascii="Arial" w:hAnsi="Arial" w:cs="Arial"/>
          <w:sz w:val="24"/>
          <w:szCs w:val="24"/>
        </w:rPr>
      </w:pPr>
      <w:r>
        <w:rPr>
          <w:rFonts w:ascii="Arial" w:hAnsi="Arial" w:cs="Arial"/>
          <w:sz w:val="24"/>
          <w:szCs w:val="24"/>
        </w:rPr>
        <w:t>4</w:t>
      </w:r>
      <w:r w:rsidR="00514AEC">
        <w:rPr>
          <w:rFonts w:ascii="Arial" w:hAnsi="Arial" w:cs="Arial"/>
          <w:sz w:val="24"/>
          <w:szCs w:val="24"/>
        </w:rPr>
        <w:t>.3</w:t>
      </w:r>
      <w:r w:rsidR="00514AEC">
        <w:rPr>
          <w:rFonts w:ascii="Arial" w:hAnsi="Arial" w:cs="Arial"/>
          <w:sz w:val="24"/>
          <w:szCs w:val="24"/>
        </w:rPr>
        <w:tab/>
        <w:t xml:space="preserve">PHA does accept </w:t>
      </w:r>
    </w:p>
    <w:p w14:paraId="2AC72F02" w14:textId="2D902360" w:rsidR="00063419" w:rsidRDefault="00514AEC" w:rsidP="00514AEC">
      <w:pPr>
        <w:ind w:left="567"/>
        <w:rPr>
          <w:rFonts w:ascii="Arial" w:hAnsi="Arial" w:cs="Arial"/>
          <w:sz w:val="24"/>
          <w:szCs w:val="24"/>
        </w:rPr>
      </w:pPr>
      <w:r>
        <w:rPr>
          <w:rFonts w:ascii="Arial" w:hAnsi="Arial" w:cs="Arial"/>
          <w:sz w:val="24"/>
          <w:szCs w:val="24"/>
        </w:rPr>
        <w:t xml:space="preserve">1) that </w:t>
      </w:r>
      <w:proofErr w:type="spellStart"/>
      <w:r>
        <w:rPr>
          <w:rFonts w:ascii="Arial" w:hAnsi="Arial" w:cs="Arial"/>
          <w:sz w:val="24"/>
          <w:szCs w:val="24"/>
        </w:rPr>
        <w:t>Civica</w:t>
      </w:r>
      <w:proofErr w:type="spellEnd"/>
      <w:r>
        <w:rPr>
          <w:rFonts w:ascii="Arial" w:hAnsi="Arial" w:cs="Arial"/>
          <w:sz w:val="24"/>
          <w:szCs w:val="24"/>
        </w:rPr>
        <w:t xml:space="preserve"> have made a commercial loss on phase 1 and wish to limit this loss further in Phase 2.  </w:t>
      </w:r>
      <w:r w:rsidR="00531A0B">
        <w:rPr>
          <w:rFonts w:ascii="Arial" w:hAnsi="Arial" w:cs="Arial"/>
          <w:sz w:val="24"/>
          <w:szCs w:val="24"/>
        </w:rPr>
        <w:t>However,</w:t>
      </w:r>
      <w:r>
        <w:rPr>
          <w:rFonts w:ascii="Arial" w:hAnsi="Arial" w:cs="Arial"/>
          <w:sz w:val="24"/>
          <w:szCs w:val="24"/>
        </w:rPr>
        <w:t xml:space="preserve"> PHA also </w:t>
      </w:r>
      <w:r w:rsidR="00531A0B">
        <w:rPr>
          <w:rFonts w:ascii="Arial" w:hAnsi="Arial" w:cs="Arial"/>
          <w:sz w:val="24"/>
          <w:szCs w:val="24"/>
        </w:rPr>
        <w:t>allocated more resources to the project.</w:t>
      </w:r>
    </w:p>
    <w:p w14:paraId="7EE2180D" w14:textId="05C0AA4C" w:rsidR="00514AEC" w:rsidRDefault="00514AEC" w:rsidP="00514AEC">
      <w:pPr>
        <w:ind w:left="567"/>
        <w:rPr>
          <w:rFonts w:ascii="Arial" w:hAnsi="Arial" w:cs="Arial"/>
          <w:sz w:val="24"/>
          <w:szCs w:val="24"/>
        </w:rPr>
      </w:pPr>
      <w:r>
        <w:rPr>
          <w:rFonts w:ascii="Arial" w:hAnsi="Arial" w:cs="Arial"/>
          <w:sz w:val="24"/>
          <w:szCs w:val="24"/>
        </w:rPr>
        <w:t>2) that phase 2</w:t>
      </w:r>
      <w:r w:rsidR="00531A0B">
        <w:rPr>
          <w:rFonts w:ascii="Arial" w:hAnsi="Arial" w:cs="Arial"/>
          <w:sz w:val="24"/>
          <w:szCs w:val="24"/>
        </w:rPr>
        <w:t xml:space="preserve"> does not include data migration </w:t>
      </w:r>
      <w:r w:rsidR="000D19F1">
        <w:rPr>
          <w:rFonts w:ascii="Arial" w:hAnsi="Arial" w:cs="Arial"/>
          <w:sz w:val="24"/>
          <w:szCs w:val="24"/>
        </w:rPr>
        <w:t>(although</w:t>
      </w:r>
      <w:r w:rsidR="00531A0B">
        <w:rPr>
          <w:rFonts w:ascii="Arial" w:hAnsi="Arial" w:cs="Arial"/>
          <w:sz w:val="24"/>
          <w:szCs w:val="24"/>
        </w:rPr>
        <w:t xml:space="preserve"> planned maintenance data will be added to the Planned Maintenance Module</w:t>
      </w:r>
      <w:r w:rsidR="00A12B46">
        <w:rPr>
          <w:rFonts w:ascii="Arial" w:hAnsi="Arial" w:cs="Arial"/>
          <w:sz w:val="24"/>
          <w:szCs w:val="24"/>
        </w:rPr>
        <w:t xml:space="preserve"> &amp; there will be data to migrate</w:t>
      </w:r>
      <w:r w:rsidR="003248E4">
        <w:rPr>
          <w:rFonts w:ascii="Arial" w:hAnsi="Arial" w:cs="Arial"/>
          <w:sz w:val="24"/>
          <w:szCs w:val="24"/>
        </w:rPr>
        <w:t xml:space="preserve"> for the Allocation Module</w:t>
      </w:r>
      <w:r w:rsidR="00531A0B">
        <w:rPr>
          <w:rFonts w:ascii="Arial" w:hAnsi="Arial" w:cs="Arial"/>
          <w:sz w:val="24"/>
          <w:szCs w:val="24"/>
        </w:rPr>
        <w:t>)</w:t>
      </w:r>
      <w:r w:rsidR="00A12B46">
        <w:rPr>
          <w:rFonts w:ascii="Arial" w:hAnsi="Arial" w:cs="Arial"/>
          <w:sz w:val="24"/>
          <w:szCs w:val="24"/>
        </w:rPr>
        <w:t xml:space="preserve"> and so more of the work will be for us in phase 2</w:t>
      </w:r>
    </w:p>
    <w:p w14:paraId="4B94EE93" w14:textId="1EB4FFA1" w:rsidR="00A12B46" w:rsidRDefault="001969F1" w:rsidP="00A12B46">
      <w:pPr>
        <w:ind w:left="567" w:hanging="567"/>
        <w:rPr>
          <w:rFonts w:ascii="Arial" w:hAnsi="Arial" w:cs="Arial"/>
          <w:sz w:val="24"/>
          <w:szCs w:val="24"/>
        </w:rPr>
      </w:pPr>
      <w:r>
        <w:rPr>
          <w:rFonts w:ascii="Arial" w:hAnsi="Arial" w:cs="Arial"/>
          <w:sz w:val="24"/>
          <w:szCs w:val="24"/>
        </w:rPr>
        <w:t>4</w:t>
      </w:r>
      <w:r w:rsidR="00A12B46">
        <w:rPr>
          <w:rFonts w:ascii="Arial" w:hAnsi="Arial" w:cs="Arial"/>
          <w:sz w:val="24"/>
          <w:szCs w:val="24"/>
        </w:rPr>
        <w:t>.4</w:t>
      </w:r>
      <w:r w:rsidR="00A12B46">
        <w:rPr>
          <w:rFonts w:ascii="Arial" w:hAnsi="Arial" w:cs="Arial"/>
          <w:sz w:val="24"/>
          <w:szCs w:val="24"/>
        </w:rPr>
        <w:tab/>
        <w:t xml:space="preserve">However although </w:t>
      </w:r>
      <w:proofErr w:type="spellStart"/>
      <w:r w:rsidR="00A12B46">
        <w:rPr>
          <w:rFonts w:ascii="Arial" w:hAnsi="Arial" w:cs="Arial"/>
          <w:sz w:val="24"/>
          <w:szCs w:val="24"/>
        </w:rPr>
        <w:t>Civica</w:t>
      </w:r>
      <w:proofErr w:type="spellEnd"/>
      <w:r w:rsidR="00A12B46">
        <w:rPr>
          <w:rFonts w:ascii="Arial" w:hAnsi="Arial" w:cs="Arial"/>
          <w:sz w:val="24"/>
          <w:szCs w:val="24"/>
        </w:rPr>
        <w:t xml:space="preserve"> have confirmed the time allocated for Phase 2</w:t>
      </w:r>
      <w:r w:rsidR="003248E4">
        <w:rPr>
          <w:rFonts w:ascii="Arial" w:hAnsi="Arial" w:cs="Arial"/>
          <w:sz w:val="24"/>
          <w:szCs w:val="24"/>
        </w:rPr>
        <w:t xml:space="preserve"> is adequate based on other </w:t>
      </w:r>
      <w:proofErr w:type="gramStart"/>
      <w:r w:rsidR="003248E4">
        <w:rPr>
          <w:rFonts w:ascii="Arial" w:hAnsi="Arial" w:cs="Arial"/>
          <w:sz w:val="24"/>
          <w:szCs w:val="24"/>
        </w:rPr>
        <w:t>projects</w:t>
      </w:r>
      <w:r w:rsidR="00A12B46">
        <w:rPr>
          <w:rFonts w:ascii="Arial" w:hAnsi="Arial" w:cs="Arial"/>
          <w:sz w:val="24"/>
          <w:szCs w:val="24"/>
        </w:rPr>
        <w:t xml:space="preserve"> ,</w:t>
      </w:r>
      <w:proofErr w:type="gramEnd"/>
      <w:r w:rsidR="00A12B46">
        <w:rPr>
          <w:rFonts w:ascii="Arial" w:hAnsi="Arial" w:cs="Arial"/>
          <w:sz w:val="24"/>
          <w:szCs w:val="24"/>
        </w:rPr>
        <w:t xml:space="preserve"> we are concerned the allocated time may not be adequate and the risk the</w:t>
      </w:r>
      <w:r w:rsidR="000D19F1">
        <w:rPr>
          <w:rFonts w:ascii="Arial" w:hAnsi="Arial" w:cs="Arial"/>
          <w:sz w:val="24"/>
          <w:szCs w:val="24"/>
        </w:rPr>
        <w:t>n</w:t>
      </w:r>
      <w:r w:rsidR="00A12B46">
        <w:rPr>
          <w:rFonts w:ascii="Arial" w:hAnsi="Arial" w:cs="Arial"/>
          <w:sz w:val="24"/>
          <w:szCs w:val="24"/>
        </w:rPr>
        <w:t xml:space="preserve"> lies with PHA</w:t>
      </w:r>
      <w:r w:rsidR="000D19F1">
        <w:rPr>
          <w:rFonts w:ascii="Arial" w:hAnsi="Arial" w:cs="Arial"/>
          <w:sz w:val="24"/>
          <w:szCs w:val="24"/>
        </w:rPr>
        <w:t>,</w:t>
      </w:r>
      <w:r w:rsidR="00A12B46">
        <w:rPr>
          <w:rFonts w:ascii="Arial" w:hAnsi="Arial" w:cs="Arial"/>
          <w:sz w:val="24"/>
          <w:szCs w:val="24"/>
        </w:rPr>
        <w:t xml:space="preserve"> if more time is required from </w:t>
      </w:r>
      <w:proofErr w:type="spellStart"/>
      <w:r w:rsidR="00A12B46">
        <w:rPr>
          <w:rFonts w:ascii="Arial" w:hAnsi="Arial" w:cs="Arial"/>
          <w:sz w:val="24"/>
          <w:szCs w:val="24"/>
        </w:rPr>
        <w:t>Civica</w:t>
      </w:r>
      <w:proofErr w:type="spellEnd"/>
      <w:r w:rsidR="00A12B46">
        <w:rPr>
          <w:rFonts w:ascii="Arial" w:hAnsi="Arial" w:cs="Arial"/>
          <w:sz w:val="24"/>
          <w:szCs w:val="24"/>
        </w:rPr>
        <w:t>. A</w:t>
      </w:r>
      <w:r w:rsidR="003248E4">
        <w:rPr>
          <w:rFonts w:ascii="Arial" w:hAnsi="Arial" w:cs="Arial"/>
          <w:sz w:val="24"/>
          <w:szCs w:val="24"/>
        </w:rPr>
        <w:t xml:space="preserve">t a </w:t>
      </w:r>
      <w:r w:rsidR="00A12B46">
        <w:rPr>
          <w:rFonts w:ascii="Arial" w:hAnsi="Arial" w:cs="Arial"/>
          <w:sz w:val="24"/>
          <w:szCs w:val="24"/>
        </w:rPr>
        <w:t>cost</w:t>
      </w:r>
      <w:r w:rsidR="003248E4">
        <w:rPr>
          <w:rFonts w:ascii="Arial" w:hAnsi="Arial" w:cs="Arial"/>
          <w:sz w:val="24"/>
          <w:szCs w:val="24"/>
        </w:rPr>
        <w:t xml:space="preserve"> of</w:t>
      </w:r>
      <w:r w:rsidR="00A12B46">
        <w:rPr>
          <w:rFonts w:ascii="Arial" w:hAnsi="Arial" w:cs="Arial"/>
          <w:sz w:val="24"/>
          <w:szCs w:val="24"/>
        </w:rPr>
        <w:t xml:space="preserve"> £1</w:t>
      </w:r>
      <w:r w:rsidR="00336B8E">
        <w:rPr>
          <w:rFonts w:ascii="Arial" w:hAnsi="Arial" w:cs="Arial"/>
          <w:sz w:val="24"/>
          <w:szCs w:val="24"/>
        </w:rPr>
        <w:t>325</w:t>
      </w:r>
      <w:r w:rsidR="00A12B46">
        <w:rPr>
          <w:rFonts w:ascii="Arial" w:hAnsi="Arial" w:cs="Arial"/>
          <w:sz w:val="24"/>
          <w:szCs w:val="24"/>
        </w:rPr>
        <w:t xml:space="preserve"> + </w:t>
      </w:r>
      <w:r w:rsidR="000D19F1">
        <w:rPr>
          <w:rFonts w:ascii="Arial" w:hAnsi="Arial" w:cs="Arial"/>
          <w:sz w:val="24"/>
          <w:szCs w:val="24"/>
        </w:rPr>
        <w:t>Vat per</w:t>
      </w:r>
      <w:r w:rsidR="00A12B46">
        <w:rPr>
          <w:rFonts w:ascii="Arial" w:hAnsi="Arial" w:cs="Arial"/>
          <w:sz w:val="24"/>
          <w:szCs w:val="24"/>
        </w:rPr>
        <w:t xml:space="preserve"> day for any additional days required.</w:t>
      </w:r>
    </w:p>
    <w:p w14:paraId="192756E2" w14:textId="3DA394C6" w:rsidR="00A12B46" w:rsidRDefault="001969F1" w:rsidP="00A12B46">
      <w:pPr>
        <w:ind w:left="567" w:hanging="567"/>
        <w:rPr>
          <w:rFonts w:ascii="Arial" w:hAnsi="Arial" w:cs="Arial"/>
          <w:sz w:val="24"/>
          <w:szCs w:val="24"/>
        </w:rPr>
      </w:pPr>
      <w:r>
        <w:rPr>
          <w:rFonts w:ascii="Arial" w:hAnsi="Arial" w:cs="Arial"/>
          <w:sz w:val="24"/>
          <w:szCs w:val="24"/>
        </w:rPr>
        <w:t>4</w:t>
      </w:r>
      <w:r w:rsidR="00A12B46">
        <w:rPr>
          <w:rFonts w:ascii="Arial" w:hAnsi="Arial" w:cs="Arial"/>
          <w:sz w:val="24"/>
          <w:szCs w:val="24"/>
        </w:rPr>
        <w:t xml:space="preserve">.5 </w:t>
      </w:r>
      <w:r w:rsidR="00A12B46">
        <w:rPr>
          <w:rFonts w:ascii="Arial" w:hAnsi="Arial" w:cs="Arial"/>
          <w:sz w:val="24"/>
          <w:szCs w:val="24"/>
        </w:rPr>
        <w:tab/>
        <w:t xml:space="preserve">To </w:t>
      </w:r>
      <w:proofErr w:type="gramStart"/>
      <w:r w:rsidR="00A12B46">
        <w:rPr>
          <w:rFonts w:ascii="Arial" w:hAnsi="Arial" w:cs="Arial"/>
          <w:sz w:val="24"/>
          <w:szCs w:val="24"/>
        </w:rPr>
        <w:t xml:space="preserve">avoid </w:t>
      </w:r>
      <w:r w:rsidR="00C805B8">
        <w:rPr>
          <w:rFonts w:ascii="Arial" w:hAnsi="Arial" w:cs="Arial"/>
          <w:sz w:val="24"/>
          <w:szCs w:val="24"/>
        </w:rPr>
        <w:t xml:space="preserve"> a</w:t>
      </w:r>
      <w:proofErr w:type="gramEnd"/>
      <w:r w:rsidR="00C805B8">
        <w:rPr>
          <w:rFonts w:ascii="Arial" w:hAnsi="Arial" w:cs="Arial"/>
          <w:sz w:val="24"/>
          <w:szCs w:val="24"/>
        </w:rPr>
        <w:t xml:space="preserve"> </w:t>
      </w:r>
      <w:r w:rsidR="00A12B46">
        <w:rPr>
          <w:rFonts w:ascii="Arial" w:hAnsi="Arial" w:cs="Arial"/>
          <w:sz w:val="24"/>
          <w:szCs w:val="24"/>
        </w:rPr>
        <w:t>costly contractual dispute</w:t>
      </w:r>
      <w:r w:rsidR="00C805B8">
        <w:rPr>
          <w:rFonts w:ascii="Arial" w:hAnsi="Arial" w:cs="Arial"/>
          <w:sz w:val="24"/>
          <w:szCs w:val="24"/>
        </w:rPr>
        <w:t xml:space="preserve">, </w:t>
      </w:r>
      <w:r w:rsidR="00A12B46">
        <w:rPr>
          <w:rFonts w:ascii="Arial" w:hAnsi="Arial" w:cs="Arial"/>
          <w:sz w:val="24"/>
          <w:szCs w:val="24"/>
        </w:rPr>
        <w:t xml:space="preserve"> it is felt that some compromise on </w:t>
      </w:r>
      <w:r w:rsidR="00C805B8">
        <w:rPr>
          <w:rFonts w:ascii="Arial" w:hAnsi="Arial" w:cs="Arial"/>
          <w:sz w:val="24"/>
          <w:szCs w:val="24"/>
        </w:rPr>
        <w:t xml:space="preserve">limiting time allocated by </w:t>
      </w:r>
      <w:proofErr w:type="spellStart"/>
      <w:r w:rsidR="00C805B8">
        <w:rPr>
          <w:rFonts w:ascii="Arial" w:hAnsi="Arial" w:cs="Arial"/>
          <w:sz w:val="24"/>
          <w:szCs w:val="24"/>
        </w:rPr>
        <w:t>Civica</w:t>
      </w:r>
      <w:proofErr w:type="spellEnd"/>
      <w:r w:rsidR="00C805B8">
        <w:rPr>
          <w:rFonts w:ascii="Arial" w:hAnsi="Arial" w:cs="Arial"/>
          <w:sz w:val="24"/>
          <w:szCs w:val="24"/>
        </w:rPr>
        <w:t xml:space="preserve"> to the </w:t>
      </w:r>
      <w:proofErr w:type="spellStart"/>
      <w:r w:rsidR="00C805B8">
        <w:rPr>
          <w:rFonts w:ascii="Arial" w:hAnsi="Arial" w:cs="Arial"/>
          <w:sz w:val="24"/>
          <w:szCs w:val="24"/>
        </w:rPr>
        <w:t>projectwould</w:t>
      </w:r>
      <w:proofErr w:type="spellEnd"/>
      <w:r w:rsidR="00C805B8">
        <w:rPr>
          <w:rFonts w:ascii="Arial" w:hAnsi="Arial" w:cs="Arial"/>
          <w:sz w:val="24"/>
          <w:szCs w:val="24"/>
        </w:rPr>
        <w:t xml:space="preserve"> be acceptable </w:t>
      </w:r>
      <w:r w:rsidR="003248E4">
        <w:rPr>
          <w:rFonts w:ascii="Arial" w:hAnsi="Arial" w:cs="Arial"/>
          <w:sz w:val="24"/>
          <w:szCs w:val="24"/>
        </w:rPr>
        <w:t>, i</w:t>
      </w:r>
      <w:r w:rsidR="00A12B46">
        <w:rPr>
          <w:rFonts w:ascii="Arial" w:hAnsi="Arial" w:cs="Arial"/>
          <w:sz w:val="24"/>
          <w:szCs w:val="24"/>
        </w:rPr>
        <w:t xml:space="preserve">n order to move the </w:t>
      </w:r>
      <w:r w:rsidR="000D19F1">
        <w:rPr>
          <w:rFonts w:ascii="Arial" w:hAnsi="Arial" w:cs="Arial"/>
          <w:sz w:val="24"/>
          <w:szCs w:val="24"/>
        </w:rPr>
        <w:t>project</w:t>
      </w:r>
      <w:r w:rsidR="00A12B46">
        <w:rPr>
          <w:rFonts w:ascii="Arial" w:hAnsi="Arial" w:cs="Arial"/>
          <w:sz w:val="24"/>
          <w:szCs w:val="24"/>
        </w:rPr>
        <w:t xml:space="preserve"> through phase 2. </w:t>
      </w:r>
      <w:r>
        <w:rPr>
          <w:rFonts w:ascii="Arial" w:hAnsi="Arial" w:cs="Arial"/>
          <w:sz w:val="24"/>
          <w:szCs w:val="24"/>
        </w:rPr>
        <w:t xml:space="preserve">But more work is required to </w:t>
      </w:r>
      <w:r w:rsidR="003248E4">
        <w:rPr>
          <w:rFonts w:ascii="Arial" w:hAnsi="Arial" w:cs="Arial"/>
          <w:sz w:val="24"/>
          <w:szCs w:val="24"/>
        </w:rPr>
        <w:t>b</w:t>
      </w:r>
      <w:r>
        <w:rPr>
          <w:rFonts w:ascii="Arial" w:hAnsi="Arial" w:cs="Arial"/>
          <w:sz w:val="24"/>
          <w:szCs w:val="24"/>
        </w:rPr>
        <w:t>e satisfied the time resource agreed is adequate.</w:t>
      </w:r>
    </w:p>
    <w:p w14:paraId="7B1AC5D2" w14:textId="483B5ABE" w:rsidR="005D6113" w:rsidRDefault="001969F1" w:rsidP="005E30EA">
      <w:pPr>
        <w:ind w:left="567" w:hanging="567"/>
        <w:rPr>
          <w:rFonts w:ascii="Arial" w:hAnsi="Arial" w:cs="Arial"/>
          <w:sz w:val="24"/>
          <w:szCs w:val="24"/>
        </w:rPr>
      </w:pPr>
      <w:r>
        <w:rPr>
          <w:rFonts w:ascii="Arial" w:hAnsi="Arial" w:cs="Arial"/>
          <w:sz w:val="24"/>
          <w:szCs w:val="24"/>
        </w:rPr>
        <w:t>4.6</w:t>
      </w:r>
      <w:r>
        <w:rPr>
          <w:rFonts w:ascii="Arial" w:hAnsi="Arial" w:cs="Arial"/>
          <w:sz w:val="24"/>
          <w:szCs w:val="24"/>
        </w:rPr>
        <w:tab/>
        <w:t xml:space="preserve">Delegated authority is requested to the SMT to agree an acceptable </w:t>
      </w:r>
      <w:r>
        <w:rPr>
          <w:rFonts w:ascii="Arial" w:hAnsi="Arial" w:cs="Arial"/>
          <w:sz w:val="24"/>
          <w:szCs w:val="24"/>
        </w:rPr>
        <w:tab/>
        <w:t xml:space="preserve">time allocation within the revised CNN and for </w:t>
      </w:r>
      <w:r w:rsidR="005E30EA">
        <w:rPr>
          <w:rFonts w:ascii="Arial" w:hAnsi="Arial" w:cs="Arial"/>
          <w:sz w:val="24"/>
          <w:szCs w:val="24"/>
        </w:rPr>
        <w:t>t</w:t>
      </w:r>
      <w:r>
        <w:rPr>
          <w:rFonts w:ascii="Arial" w:hAnsi="Arial" w:cs="Arial"/>
          <w:sz w:val="24"/>
          <w:szCs w:val="24"/>
        </w:rPr>
        <w:t>he Head of Finance &amp; IT to sign the revised CNN.</w:t>
      </w:r>
    </w:p>
    <w:p w14:paraId="776DDC78" w14:textId="20BF8594" w:rsidR="005D6113" w:rsidRDefault="005D6113" w:rsidP="004435B0">
      <w:pPr>
        <w:ind w:left="567" w:hanging="567"/>
        <w:rPr>
          <w:rFonts w:ascii="Arial" w:hAnsi="Arial" w:cs="Arial"/>
          <w:sz w:val="24"/>
          <w:szCs w:val="24"/>
        </w:rPr>
      </w:pPr>
    </w:p>
    <w:p w14:paraId="6E743A2E" w14:textId="77777777" w:rsidR="00336B8E" w:rsidRDefault="00336B8E" w:rsidP="004435B0">
      <w:pPr>
        <w:ind w:left="567" w:hanging="567"/>
        <w:rPr>
          <w:rFonts w:ascii="Arial" w:hAnsi="Arial" w:cs="Arial"/>
          <w:sz w:val="24"/>
          <w:szCs w:val="24"/>
        </w:rPr>
      </w:pPr>
    </w:p>
    <w:p w14:paraId="342DE247" w14:textId="480427D0" w:rsidR="00640D19" w:rsidRDefault="00640D19" w:rsidP="005E30EA">
      <w:pPr>
        <w:pStyle w:val="ListParagraph"/>
        <w:numPr>
          <w:ilvl w:val="0"/>
          <w:numId w:val="38"/>
        </w:numPr>
        <w:spacing w:line="240" w:lineRule="auto"/>
        <w:ind w:left="567" w:hanging="567"/>
        <w:rPr>
          <w:rFonts w:ascii="Arial" w:hAnsi="Arial" w:cs="Arial"/>
          <w:b/>
          <w:color w:val="000000" w:themeColor="text1"/>
          <w:sz w:val="24"/>
          <w:szCs w:val="24"/>
        </w:rPr>
      </w:pPr>
      <w:r w:rsidRPr="005D6113">
        <w:rPr>
          <w:rFonts w:ascii="Arial" w:hAnsi="Arial" w:cs="Arial"/>
          <w:b/>
          <w:color w:val="000000" w:themeColor="text1"/>
          <w:sz w:val="24"/>
          <w:szCs w:val="24"/>
        </w:rPr>
        <w:lastRenderedPageBreak/>
        <w:t xml:space="preserve"> </w:t>
      </w:r>
      <w:r w:rsidR="00705831" w:rsidRPr="005D6113">
        <w:rPr>
          <w:rFonts w:ascii="Arial" w:hAnsi="Arial" w:cs="Arial"/>
          <w:b/>
          <w:color w:val="000000" w:themeColor="text1"/>
          <w:sz w:val="24"/>
          <w:szCs w:val="24"/>
        </w:rPr>
        <w:t>Recommendations</w:t>
      </w:r>
    </w:p>
    <w:p w14:paraId="62782AB5" w14:textId="77777777" w:rsidR="005E30EA" w:rsidRPr="005D6113" w:rsidRDefault="005E30EA" w:rsidP="005E30EA">
      <w:pPr>
        <w:pStyle w:val="ListParagraph"/>
        <w:spacing w:line="240" w:lineRule="auto"/>
        <w:ind w:left="567"/>
        <w:rPr>
          <w:rFonts w:ascii="Arial" w:hAnsi="Arial" w:cs="Arial"/>
          <w:b/>
          <w:color w:val="000000" w:themeColor="text1"/>
          <w:sz w:val="24"/>
          <w:szCs w:val="24"/>
        </w:rPr>
      </w:pPr>
    </w:p>
    <w:p w14:paraId="729EFDE1" w14:textId="18A45175" w:rsidR="005E30EA" w:rsidRDefault="005E30EA" w:rsidP="005E30EA">
      <w:pPr>
        <w:pStyle w:val="ListParagraph"/>
        <w:numPr>
          <w:ilvl w:val="0"/>
          <w:numId w:val="40"/>
        </w:numPr>
        <w:spacing w:line="240" w:lineRule="auto"/>
        <w:rPr>
          <w:rFonts w:ascii="Arial" w:hAnsi="Arial" w:cs="Arial"/>
          <w:b/>
          <w:color w:val="000000" w:themeColor="text1"/>
          <w:sz w:val="24"/>
          <w:szCs w:val="24"/>
        </w:rPr>
      </w:pPr>
      <w:r>
        <w:rPr>
          <w:rFonts w:ascii="Arial" w:hAnsi="Arial" w:cs="Arial"/>
          <w:b/>
          <w:color w:val="000000" w:themeColor="text1"/>
          <w:sz w:val="24"/>
          <w:szCs w:val="24"/>
        </w:rPr>
        <w:t>Board to note Phase 1 of the project is now Live</w:t>
      </w:r>
    </w:p>
    <w:p w14:paraId="72D5B62A" w14:textId="1AD0CDB1" w:rsidR="005E30EA" w:rsidRDefault="005E30EA" w:rsidP="005E30EA">
      <w:pPr>
        <w:pStyle w:val="ListParagraph"/>
        <w:numPr>
          <w:ilvl w:val="0"/>
          <w:numId w:val="40"/>
        </w:numPr>
        <w:spacing w:line="240" w:lineRule="auto"/>
        <w:rPr>
          <w:rFonts w:ascii="Arial" w:hAnsi="Arial" w:cs="Arial"/>
          <w:b/>
          <w:color w:val="000000" w:themeColor="text1"/>
          <w:sz w:val="24"/>
          <w:szCs w:val="24"/>
        </w:rPr>
      </w:pPr>
      <w:r>
        <w:rPr>
          <w:rFonts w:ascii="Arial" w:hAnsi="Arial" w:cs="Arial"/>
          <w:b/>
          <w:color w:val="000000" w:themeColor="text1"/>
          <w:sz w:val="24"/>
          <w:szCs w:val="24"/>
        </w:rPr>
        <w:t xml:space="preserve">Board to note the ongoing request to limit </w:t>
      </w:r>
      <w:proofErr w:type="spellStart"/>
      <w:r>
        <w:rPr>
          <w:rFonts w:ascii="Arial" w:hAnsi="Arial" w:cs="Arial"/>
          <w:b/>
          <w:color w:val="000000" w:themeColor="text1"/>
          <w:sz w:val="24"/>
          <w:szCs w:val="24"/>
        </w:rPr>
        <w:t>Civica’s</w:t>
      </w:r>
      <w:proofErr w:type="spellEnd"/>
      <w:r>
        <w:rPr>
          <w:rFonts w:ascii="Arial" w:hAnsi="Arial" w:cs="Arial"/>
          <w:b/>
          <w:color w:val="000000" w:themeColor="text1"/>
          <w:sz w:val="24"/>
          <w:szCs w:val="24"/>
        </w:rPr>
        <w:t xml:space="preserve"> financial exposure in Phase 2</w:t>
      </w:r>
    </w:p>
    <w:p w14:paraId="09D5B85B" w14:textId="3AABFA4E" w:rsidR="005E30EA" w:rsidRPr="005E30EA" w:rsidRDefault="005E30EA" w:rsidP="005E30EA">
      <w:pPr>
        <w:pStyle w:val="ListParagraph"/>
        <w:numPr>
          <w:ilvl w:val="0"/>
          <w:numId w:val="40"/>
        </w:numPr>
        <w:spacing w:line="240" w:lineRule="auto"/>
        <w:rPr>
          <w:rFonts w:ascii="Arial" w:hAnsi="Arial" w:cs="Arial"/>
          <w:b/>
          <w:color w:val="000000" w:themeColor="text1"/>
          <w:sz w:val="24"/>
          <w:szCs w:val="24"/>
        </w:rPr>
      </w:pPr>
      <w:r w:rsidRPr="005E30EA">
        <w:rPr>
          <w:rFonts w:ascii="Arial" w:hAnsi="Arial" w:cs="Arial"/>
          <w:b/>
          <w:color w:val="000000" w:themeColor="text1"/>
          <w:sz w:val="24"/>
          <w:szCs w:val="24"/>
        </w:rPr>
        <w:t>Board</w:t>
      </w:r>
      <w:r>
        <w:rPr>
          <w:rFonts w:ascii="Arial" w:hAnsi="Arial" w:cs="Arial"/>
          <w:b/>
          <w:color w:val="000000" w:themeColor="text1"/>
          <w:sz w:val="24"/>
          <w:szCs w:val="24"/>
        </w:rPr>
        <w:t xml:space="preserve"> </w:t>
      </w:r>
      <w:r w:rsidRPr="005E30EA">
        <w:rPr>
          <w:rFonts w:ascii="Arial" w:hAnsi="Arial" w:cs="Arial"/>
          <w:b/>
          <w:color w:val="000000" w:themeColor="text1"/>
          <w:sz w:val="24"/>
          <w:szCs w:val="24"/>
        </w:rPr>
        <w:t>to</w:t>
      </w:r>
      <w:r w:rsidRPr="005E30EA">
        <w:rPr>
          <w:rFonts w:ascii="Arial" w:hAnsi="Arial" w:cs="Arial"/>
          <w:b/>
          <w:color w:val="000000" w:themeColor="text1"/>
          <w:sz w:val="24"/>
          <w:szCs w:val="24"/>
        </w:rPr>
        <w:t xml:space="preserve"> agree to delegate </w:t>
      </w:r>
      <w:r w:rsidR="000D19F1">
        <w:rPr>
          <w:rFonts w:ascii="Arial" w:hAnsi="Arial" w:cs="Arial"/>
          <w:b/>
          <w:color w:val="000000" w:themeColor="text1"/>
          <w:sz w:val="24"/>
          <w:szCs w:val="24"/>
        </w:rPr>
        <w:t xml:space="preserve">authority </w:t>
      </w:r>
      <w:r w:rsidRPr="005E30EA">
        <w:rPr>
          <w:rFonts w:ascii="Arial" w:hAnsi="Arial" w:cs="Arial"/>
          <w:b/>
          <w:color w:val="000000" w:themeColor="text1"/>
          <w:sz w:val="24"/>
          <w:szCs w:val="24"/>
        </w:rPr>
        <w:t xml:space="preserve">to the SMT </w:t>
      </w:r>
      <w:r w:rsidRPr="005E30EA">
        <w:rPr>
          <w:rFonts w:ascii="Arial" w:hAnsi="Arial" w:cs="Arial"/>
          <w:b/>
          <w:bCs/>
          <w:sz w:val="24"/>
          <w:szCs w:val="24"/>
        </w:rPr>
        <w:t xml:space="preserve">agree </w:t>
      </w:r>
      <w:r>
        <w:rPr>
          <w:rFonts w:ascii="Arial" w:hAnsi="Arial" w:cs="Arial"/>
          <w:b/>
          <w:bCs/>
          <w:sz w:val="24"/>
          <w:szCs w:val="24"/>
        </w:rPr>
        <w:t>a</w:t>
      </w:r>
      <w:r w:rsidRPr="005E30EA">
        <w:rPr>
          <w:rFonts w:ascii="Arial" w:hAnsi="Arial" w:cs="Arial"/>
          <w:b/>
          <w:bCs/>
          <w:sz w:val="24"/>
          <w:szCs w:val="24"/>
        </w:rPr>
        <w:t xml:space="preserve"> </w:t>
      </w:r>
      <w:r w:rsidRPr="005E30EA">
        <w:rPr>
          <w:rFonts w:ascii="Arial" w:hAnsi="Arial" w:cs="Arial"/>
          <w:b/>
          <w:bCs/>
          <w:sz w:val="24"/>
          <w:szCs w:val="24"/>
        </w:rPr>
        <w:t>revised CNN and for the Head of Finance &amp; IT to sign the revised CNN</w:t>
      </w:r>
      <w:r w:rsidRPr="005E30EA">
        <w:rPr>
          <w:rFonts w:ascii="Arial" w:hAnsi="Arial" w:cs="Arial"/>
          <w:sz w:val="24"/>
          <w:szCs w:val="24"/>
        </w:rPr>
        <w:t>.</w:t>
      </w:r>
    </w:p>
    <w:p w14:paraId="649EF9DE" w14:textId="670E3D98" w:rsidR="005E30EA" w:rsidRPr="005E30EA" w:rsidRDefault="005E30EA" w:rsidP="005E30EA">
      <w:pPr>
        <w:pStyle w:val="ListParagraph"/>
        <w:spacing w:line="240" w:lineRule="auto"/>
        <w:ind w:left="712"/>
        <w:rPr>
          <w:rFonts w:ascii="Arial" w:hAnsi="Arial" w:cs="Arial"/>
          <w:b/>
          <w:color w:val="000000" w:themeColor="text1"/>
          <w:sz w:val="24"/>
          <w:szCs w:val="24"/>
        </w:rPr>
      </w:pPr>
    </w:p>
    <w:p w14:paraId="09E1BD03" w14:textId="7BE8F87C" w:rsidR="007D114A" w:rsidRPr="00C04395" w:rsidRDefault="007D114A" w:rsidP="005E30EA">
      <w:pPr>
        <w:pStyle w:val="ListParagraph"/>
        <w:ind w:left="709"/>
        <w:rPr>
          <w:rFonts w:ascii="Arial" w:hAnsi="Arial" w:cs="Arial"/>
          <w:color w:val="FF0000"/>
          <w:sz w:val="24"/>
          <w:szCs w:val="24"/>
          <w:u w:val="single"/>
        </w:rPr>
      </w:pPr>
    </w:p>
    <w:sectPr w:rsidR="007D114A" w:rsidRPr="00C04395" w:rsidSect="00846E1D">
      <w:footerReference w:type="even" r:id="rId8"/>
      <w:footerReference w:type="default" r:id="rId9"/>
      <w:pgSz w:w="12240" w:h="15840" w:code="1"/>
      <w:pgMar w:top="1440"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63EE" w14:textId="77777777" w:rsidR="00790E7C" w:rsidRDefault="00790E7C" w:rsidP="002D3E9B">
      <w:pPr>
        <w:spacing w:after="0" w:line="240" w:lineRule="auto"/>
      </w:pPr>
      <w:r>
        <w:separator/>
      </w:r>
    </w:p>
  </w:endnote>
  <w:endnote w:type="continuationSeparator" w:id="0">
    <w:p w14:paraId="718412CE" w14:textId="77777777" w:rsidR="00790E7C" w:rsidRDefault="00790E7C" w:rsidP="002D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17E3" w14:textId="77777777" w:rsidR="00054639" w:rsidRDefault="00E41312" w:rsidP="00207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A2EBD" w14:textId="77777777" w:rsidR="00054639" w:rsidRDefault="00336B8E" w:rsidP="002C42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CE89" w14:textId="77777777" w:rsidR="00054639" w:rsidRDefault="00E41312" w:rsidP="00207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393">
      <w:rPr>
        <w:rStyle w:val="PageNumber"/>
        <w:noProof/>
      </w:rPr>
      <w:t>1</w:t>
    </w:r>
    <w:r>
      <w:rPr>
        <w:rStyle w:val="PageNumber"/>
      </w:rPr>
      <w:fldChar w:fldCharType="end"/>
    </w:r>
  </w:p>
  <w:p w14:paraId="67C71D88" w14:textId="77777777" w:rsidR="00054639" w:rsidRDefault="00336B8E" w:rsidP="00CF01B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432E" w14:textId="77777777" w:rsidR="00790E7C" w:rsidRDefault="00790E7C" w:rsidP="002D3E9B">
      <w:pPr>
        <w:spacing w:after="0" w:line="240" w:lineRule="auto"/>
      </w:pPr>
      <w:r>
        <w:separator/>
      </w:r>
    </w:p>
  </w:footnote>
  <w:footnote w:type="continuationSeparator" w:id="0">
    <w:p w14:paraId="3650DC7D" w14:textId="77777777" w:rsidR="00790E7C" w:rsidRDefault="00790E7C" w:rsidP="002D3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68F"/>
    <w:multiLevelType w:val="hybridMultilevel"/>
    <w:tmpl w:val="2410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B51A9"/>
    <w:multiLevelType w:val="hybridMultilevel"/>
    <w:tmpl w:val="DB7A95C8"/>
    <w:lvl w:ilvl="0" w:tplc="3166A740">
      <w:numFmt w:val="bullet"/>
      <w:lvlText w:val=""/>
      <w:lvlJc w:val="left"/>
      <w:pPr>
        <w:ind w:left="930" w:hanging="360"/>
      </w:pPr>
      <w:rPr>
        <w:rFonts w:ascii="Symbol" w:eastAsiaTheme="minorEastAsia" w:hAnsi="Symbo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156335BC"/>
    <w:multiLevelType w:val="hybridMultilevel"/>
    <w:tmpl w:val="799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37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F4625"/>
    <w:multiLevelType w:val="hybridMultilevel"/>
    <w:tmpl w:val="D42C3EB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84C8E"/>
    <w:multiLevelType w:val="hybridMultilevel"/>
    <w:tmpl w:val="2E08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80F99"/>
    <w:multiLevelType w:val="hybridMultilevel"/>
    <w:tmpl w:val="308A9C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F4D1317"/>
    <w:multiLevelType w:val="hybridMultilevel"/>
    <w:tmpl w:val="21D411F8"/>
    <w:lvl w:ilvl="0" w:tplc="AEE6298E">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30B04"/>
    <w:multiLevelType w:val="multilevel"/>
    <w:tmpl w:val="58F054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D7587"/>
    <w:multiLevelType w:val="multilevel"/>
    <w:tmpl w:val="166EBA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A60E0"/>
    <w:multiLevelType w:val="hybridMultilevel"/>
    <w:tmpl w:val="41FEFE72"/>
    <w:lvl w:ilvl="0" w:tplc="08090015">
      <w:start w:val="1"/>
      <w:numFmt w:val="upp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2DB94E6F"/>
    <w:multiLevelType w:val="hybridMultilevel"/>
    <w:tmpl w:val="68C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80AD5"/>
    <w:multiLevelType w:val="hybridMultilevel"/>
    <w:tmpl w:val="656AF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203A29"/>
    <w:multiLevelType w:val="hybridMultilevel"/>
    <w:tmpl w:val="0F3A6CF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370748A8"/>
    <w:multiLevelType w:val="hybridMultilevel"/>
    <w:tmpl w:val="A6DA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94354"/>
    <w:multiLevelType w:val="hybridMultilevel"/>
    <w:tmpl w:val="377885BC"/>
    <w:lvl w:ilvl="0" w:tplc="FFF4E440">
      <w:start w:val="1"/>
      <w:numFmt w:val="decimal"/>
      <w:lvlText w:val="%1."/>
      <w:lvlJc w:val="left"/>
      <w:pPr>
        <w:ind w:left="1778" w:hanging="360"/>
      </w:pPr>
      <w:rPr>
        <w:color w:val="000000" w:themeColor="text1"/>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6" w15:restartNumberingAfterBreak="0">
    <w:nsid w:val="373F22D4"/>
    <w:multiLevelType w:val="hybridMultilevel"/>
    <w:tmpl w:val="9D3A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825B8"/>
    <w:multiLevelType w:val="hybridMultilevel"/>
    <w:tmpl w:val="8774E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65291B"/>
    <w:multiLevelType w:val="multilevel"/>
    <w:tmpl w:val="AAB46EF8"/>
    <w:lvl w:ilvl="0">
      <w:start w:val="2"/>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9" w15:restartNumberingAfterBreak="0">
    <w:nsid w:val="43834333"/>
    <w:multiLevelType w:val="hybridMultilevel"/>
    <w:tmpl w:val="02E4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30A7C"/>
    <w:multiLevelType w:val="hybridMultilevel"/>
    <w:tmpl w:val="5DCA7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C3C2D"/>
    <w:multiLevelType w:val="hybridMultilevel"/>
    <w:tmpl w:val="B0BC8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AC5A56"/>
    <w:multiLevelType w:val="multilevel"/>
    <w:tmpl w:val="92E01198"/>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78596A"/>
    <w:multiLevelType w:val="hybridMultilevel"/>
    <w:tmpl w:val="22660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3D57E0"/>
    <w:multiLevelType w:val="hybridMultilevel"/>
    <w:tmpl w:val="8F0EA1BA"/>
    <w:lvl w:ilvl="0" w:tplc="72662D86">
      <w:start w:val="1"/>
      <w:numFmt w:val="bullet"/>
      <w:lvlText w:val=""/>
      <w:lvlJc w:val="left"/>
      <w:pPr>
        <w:ind w:left="1636"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43108C"/>
    <w:multiLevelType w:val="hybridMultilevel"/>
    <w:tmpl w:val="1BDC143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B3908"/>
    <w:multiLevelType w:val="hybridMultilevel"/>
    <w:tmpl w:val="7370F80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46A0E2B"/>
    <w:multiLevelType w:val="hybridMultilevel"/>
    <w:tmpl w:val="EFF06F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956F29"/>
    <w:multiLevelType w:val="hybridMultilevel"/>
    <w:tmpl w:val="70968CC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9" w15:restartNumberingAfterBreak="0">
    <w:nsid w:val="66F17F81"/>
    <w:multiLevelType w:val="hybridMultilevel"/>
    <w:tmpl w:val="DE14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C072AE"/>
    <w:multiLevelType w:val="hybridMultilevel"/>
    <w:tmpl w:val="B8785A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1B47A6"/>
    <w:multiLevelType w:val="hybridMultilevel"/>
    <w:tmpl w:val="CAC0A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4D280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7A7E762A"/>
    <w:multiLevelType w:val="hybridMultilevel"/>
    <w:tmpl w:val="0AF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45933"/>
    <w:multiLevelType w:val="hybridMultilevel"/>
    <w:tmpl w:val="5600942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5" w15:restartNumberingAfterBreak="0">
    <w:nsid w:val="7C3D095A"/>
    <w:multiLevelType w:val="hybridMultilevel"/>
    <w:tmpl w:val="F354626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061474"/>
    <w:multiLevelType w:val="hybridMultilevel"/>
    <w:tmpl w:val="D8BAE610"/>
    <w:lvl w:ilvl="0" w:tplc="1F8C97C4">
      <w:start w:val="1"/>
      <w:numFmt w:val="decimal"/>
      <w:lvlText w:val="%1)"/>
      <w:lvlJc w:val="left"/>
      <w:pPr>
        <w:ind w:left="712" w:hanging="360"/>
      </w:pPr>
      <w:rPr>
        <w:rFonts w:hint="default"/>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num w:numId="1">
    <w:abstractNumId w:val="22"/>
  </w:num>
  <w:num w:numId="2">
    <w:abstractNumId w:val="10"/>
  </w:num>
  <w:num w:numId="3">
    <w:abstractNumId w:val="26"/>
  </w:num>
  <w:num w:numId="4">
    <w:abstractNumId w:val="29"/>
  </w:num>
  <w:num w:numId="5">
    <w:abstractNumId w:val="7"/>
  </w:num>
  <w:num w:numId="6">
    <w:abstractNumId w:val="7"/>
  </w:num>
  <w:num w:numId="7">
    <w:abstractNumId w:val="12"/>
  </w:num>
  <w:num w:numId="8">
    <w:abstractNumId w:val="24"/>
  </w:num>
  <w:num w:numId="9">
    <w:abstractNumId w:val="32"/>
  </w:num>
  <w:num w:numId="10">
    <w:abstractNumId w:val="3"/>
  </w:num>
  <w:num w:numId="11">
    <w:abstractNumId w:val="14"/>
  </w:num>
  <w:num w:numId="12">
    <w:abstractNumId w:val="31"/>
  </w:num>
  <w:num w:numId="13">
    <w:abstractNumId w:val="23"/>
  </w:num>
  <w:num w:numId="14">
    <w:abstractNumId w:val="21"/>
  </w:num>
  <w:num w:numId="15">
    <w:abstractNumId w:val="33"/>
  </w:num>
  <w:num w:numId="16">
    <w:abstractNumId w:val="30"/>
  </w:num>
  <w:num w:numId="17">
    <w:abstractNumId w:val="7"/>
  </w:num>
  <w:num w:numId="18">
    <w:abstractNumId w:val="24"/>
  </w:num>
  <w:num w:numId="19">
    <w:abstractNumId w:val="6"/>
  </w:num>
  <w:num w:numId="20">
    <w:abstractNumId w:val="3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3"/>
  </w:num>
  <w:num w:numId="24">
    <w:abstractNumId w:val="27"/>
  </w:num>
  <w:num w:numId="25">
    <w:abstractNumId w:val="4"/>
  </w:num>
  <w:num w:numId="26">
    <w:abstractNumId w:val="18"/>
  </w:num>
  <w:num w:numId="27">
    <w:abstractNumId w:val="9"/>
  </w:num>
  <w:num w:numId="28">
    <w:abstractNumId w:val="0"/>
  </w:num>
  <w:num w:numId="29">
    <w:abstractNumId w:val="11"/>
  </w:num>
  <w:num w:numId="30">
    <w:abstractNumId w:val="16"/>
  </w:num>
  <w:num w:numId="31">
    <w:abstractNumId w:val="5"/>
  </w:num>
  <w:num w:numId="32">
    <w:abstractNumId w:val="17"/>
  </w:num>
  <w:num w:numId="33">
    <w:abstractNumId w:val="19"/>
  </w:num>
  <w:num w:numId="34">
    <w:abstractNumId w:val="2"/>
  </w:num>
  <w:num w:numId="35">
    <w:abstractNumId w:val="8"/>
  </w:num>
  <w:num w:numId="36">
    <w:abstractNumId w:val="28"/>
  </w:num>
  <w:num w:numId="37">
    <w:abstractNumId w:val="1"/>
  </w:num>
  <w:num w:numId="38">
    <w:abstractNumId w:val="25"/>
  </w:num>
  <w:num w:numId="39">
    <w:abstractNumId w:val="35"/>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9B"/>
    <w:rsid w:val="00001D5A"/>
    <w:rsid w:val="0000586A"/>
    <w:rsid w:val="00011A37"/>
    <w:rsid w:val="00022F0F"/>
    <w:rsid w:val="00024C0D"/>
    <w:rsid w:val="00034940"/>
    <w:rsid w:val="00040B78"/>
    <w:rsid w:val="00041082"/>
    <w:rsid w:val="000426B6"/>
    <w:rsid w:val="00047339"/>
    <w:rsid w:val="00054648"/>
    <w:rsid w:val="00054CC4"/>
    <w:rsid w:val="000600B9"/>
    <w:rsid w:val="00063419"/>
    <w:rsid w:val="00064411"/>
    <w:rsid w:val="00066A9B"/>
    <w:rsid w:val="00072153"/>
    <w:rsid w:val="00076A11"/>
    <w:rsid w:val="00077E9D"/>
    <w:rsid w:val="000B455E"/>
    <w:rsid w:val="000B4D18"/>
    <w:rsid w:val="000C55E8"/>
    <w:rsid w:val="000D19F1"/>
    <w:rsid w:val="000D3615"/>
    <w:rsid w:val="000F5AAF"/>
    <w:rsid w:val="000F760D"/>
    <w:rsid w:val="0010282C"/>
    <w:rsid w:val="00120261"/>
    <w:rsid w:val="00124B7C"/>
    <w:rsid w:val="00141AF5"/>
    <w:rsid w:val="00143EEC"/>
    <w:rsid w:val="00147E7D"/>
    <w:rsid w:val="00155AB4"/>
    <w:rsid w:val="0015771E"/>
    <w:rsid w:val="00160E7D"/>
    <w:rsid w:val="00181B3B"/>
    <w:rsid w:val="00187030"/>
    <w:rsid w:val="00195AC2"/>
    <w:rsid w:val="00195DFD"/>
    <w:rsid w:val="001969F1"/>
    <w:rsid w:val="001A69F8"/>
    <w:rsid w:val="001B59AD"/>
    <w:rsid w:val="001C3408"/>
    <w:rsid w:val="001E5C77"/>
    <w:rsid w:val="0021449D"/>
    <w:rsid w:val="00215C36"/>
    <w:rsid w:val="002307EA"/>
    <w:rsid w:val="00235E3E"/>
    <w:rsid w:val="00250FF4"/>
    <w:rsid w:val="0027574A"/>
    <w:rsid w:val="002774E5"/>
    <w:rsid w:val="002843D9"/>
    <w:rsid w:val="00285B1A"/>
    <w:rsid w:val="00287AA6"/>
    <w:rsid w:val="002A05EF"/>
    <w:rsid w:val="002A5C6D"/>
    <w:rsid w:val="002B1E21"/>
    <w:rsid w:val="002B3652"/>
    <w:rsid w:val="002B5CBA"/>
    <w:rsid w:val="002C324F"/>
    <w:rsid w:val="002D3E9B"/>
    <w:rsid w:val="002E1111"/>
    <w:rsid w:val="002E31CB"/>
    <w:rsid w:val="002E3FCE"/>
    <w:rsid w:val="002E6F9F"/>
    <w:rsid w:val="002F1E4B"/>
    <w:rsid w:val="002F698F"/>
    <w:rsid w:val="002F6CEF"/>
    <w:rsid w:val="00315346"/>
    <w:rsid w:val="0031622B"/>
    <w:rsid w:val="00321399"/>
    <w:rsid w:val="00322972"/>
    <w:rsid w:val="003248E4"/>
    <w:rsid w:val="00330B2B"/>
    <w:rsid w:val="00334E0F"/>
    <w:rsid w:val="00336B8E"/>
    <w:rsid w:val="003434D9"/>
    <w:rsid w:val="00352A9C"/>
    <w:rsid w:val="003532FC"/>
    <w:rsid w:val="00365235"/>
    <w:rsid w:val="00373724"/>
    <w:rsid w:val="003754A3"/>
    <w:rsid w:val="00377E3C"/>
    <w:rsid w:val="00385CDE"/>
    <w:rsid w:val="003A5466"/>
    <w:rsid w:val="003B15DF"/>
    <w:rsid w:val="003B34F7"/>
    <w:rsid w:val="003B5743"/>
    <w:rsid w:val="003B7853"/>
    <w:rsid w:val="003C2E35"/>
    <w:rsid w:val="003C5285"/>
    <w:rsid w:val="003F11F9"/>
    <w:rsid w:val="003F3945"/>
    <w:rsid w:val="0040203E"/>
    <w:rsid w:val="00416AED"/>
    <w:rsid w:val="00417A8B"/>
    <w:rsid w:val="00435613"/>
    <w:rsid w:val="004368F1"/>
    <w:rsid w:val="004435B0"/>
    <w:rsid w:val="004541C5"/>
    <w:rsid w:val="00464246"/>
    <w:rsid w:val="00465C91"/>
    <w:rsid w:val="004810A8"/>
    <w:rsid w:val="004951A6"/>
    <w:rsid w:val="004B16F3"/>
    <w:rsid w:val="004B35D0"/>
    <w:rsid w:val="004B6A08"/>
    <w:rsid w:val="004D4C30"/>
    <w:rsid w:val="004D5999"/>
    <w:rsid w:val="004F38F5"/>
    <w:rsid w:val="00502880"/>
    <w:rsid w:val="00513A86"/>
    <w:rsid w:val="00514AEC"/>
    <w:rsid w:val="0051566B"/>
    <w:rsid w:val="0052220B"/>
    <w:rsid w:val="00531A0B"/>
    <w:rsid w:val="00531CF9"/>
    <w:rsid w:val="00532296"/>
    <w:rsid w:val="00540754"/>
    <w:rsid w:val="00542548"/>
    <w:rsid w:val="00546A25"/>
    <w:rsid w:val="0055008E"/>
    <w:rsid w:val="00550F57"/>
    <w:rsid w:val="00553DD4"/>
    <w:rsid w:val="00567C68"/>
    <w:rsid w:val="00567C7E"/>
    <w:rsid w:val="00574CD9"/>
    <w:rsid w:val="005A3476"/>
    <w:rsid w:val="005A5F3E"/>
    <w:rsid w:val="005C4848"/>
    <w:rsid w:val="005D0E35"/>
    <w:rsid w:val="005D6113"/>
    <w:rsid w:val="005E30EA"/>
    <w:rsid w:val="005E3CEF"/>
    <w:rsid w:val="005E4DC8"/>
    <w:rsid w:val="006006C7"/>
    <w:rsid w:val="00603690"/>
    <w:rsid w:val="006325E3"/>
    <w:rsid w:val="0063385A"/>
    <w:rsid w:val="00640D19"/>
    <w:rsid w:val="0064595F"/>
    <w:rsid w:val="00676D88"/>
    <w:rsid w:val="00691090"/>
    <w:rsid w:val="00695F8D"/>
    <w:rsid w:val="006A04BF"/>
    <w:rsid w:val="006A1AF4"/>
    <w:rsid w:val="006B0D25"/>
    <w:rsid w:val="006C2FAB"/>
    <w:rsid w:val="006C33B4"/>
    <w:rsid w:val="006C37BE"/>
    <w:rsid w:val="006C53FD"/>
    <w:rsid w:val="006C55CF"/>
    <w:rsid w:val="006D429B"/>
    <w:rsid w:val="006D4F9A"/>
    <w:rsid w:val="006E776D"/>
    <w:rsid w:val="006F18C0"/>
    <w:rsid w:val="00703BC7"/>
    <w:rsid w:val="00704E26"/>
    <w:rsid w:val="00705831"/>
    <w:rsid w:val="007136D7"/>
    <w:rsid w:val="00715D7E"/>
    <w:rsid w:val="007169BB"/>
    <w:rsid w:val="00720215"/>
    <w:rsid w:val="00726644"/>
    <w:rsid w:val="007308FB"/>
    <w:rsid w:val="007449D2"/>
    <w:rsid w:val="00750EB0"/>
    <w:rsid w:val="0075490A"/>
    <w:rsid w:val="0075542E"/>
    <w:rsid w:val="0076440C"/>
    <w:rsid w:val="00771DD5"/>
    <w:rsid w:val="00783118"/>
    <w:rsid w:val="00790E7C"/>
    <w:rsid w:val="007A4192"/>
    <w:rsid w:val="007B1AEB"/>
    <w:rsid w:val="007B64C8"/>
    <w:rsid w:val="007C4B90"/>
    <w:rsid w:val="007D114A"/>
    <w:rsid w:val="007F704E"/>
    <w:rsid w:val="0080376E"/>
    <w:rsid w:val="0081745D"/>
    <w:rsid w:val="008361B6"/>
    <w:rsid w:val="00836AA4"/>
    <w:rsid w:val="00837B39"/>
    <w:rsid w:val="00846E1D"/>
    <w:rsid w:val="008477B9"/>
    <w:rsid w:val="0085346B"/>
    <w:rsid w:val="00862256"/>
    <w:rsid w:val="0086261D"/>
    <w:rsid w:val="0086420F"/>
    <w:rsid w:val="008716AC"/>
    <w:rsid w:val="00873393"/>
    <w:rsid w:val="0088384C"/>
    <w:rsid w:val="008A16FE"/>
    <w:rsid w:val="008B421F"/>
    <w:rsid w:val="008C68B3"/>
    <w:rsid w:val="008D0082"/>
    <w:rsid w:val="008D414A"/>
    <w:rsid w:val="008D76A0"/>
    <w:rsid w:val="008F0242"/>
    <w:rsid w:val="00935F40"/>
    <w:rsid w:val="009373E6"/>
    <w:rsid w:val="00947BB0"/>
    <w:rsid w:val="0096777D"/>
    <w:rsid w:val="00970544"/>
    <w:rsid w:val="0097108E"/>
    <w:rsid w:val="00972308"/>
    <w:rsid w:val="009765C3"/>
    <w:rsid w:val="00976D11"/>
    <w:rsid w:val="009774C9"/>
    <w:rsid w:val="00983C2F"/>
    <w:rsid w:val="009846EA"/>
    <w:rsid w:val="00990F58"/>
    <w:rsid w:val="009A48E7"/>
    <w:rsid w:val="009B66A5"/>
    <w:rsid w:val="009C206A"/>
    <w:rsid w:val="009E0E85"/>
    <w:rsid w:val="009F26B0"/>
    <w:rsid w:val="009F4CD8"/>
    <w:rsid w:val="00A06375"/>
    <w:rsid w:val="00A103A4"/>
    <w:rsid w:val="00A12228"/>
    <w:rsid w:val="00A12B46"/>
    <w:rsid w:val="00A36388"/>
    <w:rsid w:val="00A40957"/>
    <w:rsid w:val="00A42673"/>
    <w:rsid w:val="00A76B9D"/>
    <w:rsid w:val="00A924CF"/>
    <w:rsid w:val="00A96445"/>
    <w:rsid w:val="00AA3D61"/>
    <w:rsid w:val="00AB5710"/>
    <w:rsid w:val="00AC1114"/>
    <w:rsid w:val="00AC3710"/>
    <w:rsid w:val="00AC45CF"/>
    <w:rsid w:val="00AD5E72"/>
    <w:rsid w:val="00AD6F37"/>
    <w:rsid w:val="00AE26E7"/>
    <w:rsid w:val="00AF12D4"/>
    <w:rsid w:val="00AF380F"/>
    <w:rsid w:val="00B04963"/>
    <w:rsid w:val="00B228A4"/>
    <w:rsid w:val="00B27ED7"/>
    <w:rsid w:val="00B44210"/>
    <w:rsid w:val="00B470B0"/>
    <w:rsid w:val="00B520AC"/>
    <w:rsid w:val="00B615F4"/>
    <w:rsid w:val="00B656F0"/>
    <w:rsid w:val="00B660CD"/>
    <w:rsid w:val="00B67E5D"/>
    <w:rsid w:val="00B74B94"/>
    <w:rsid w:val="00B80567"/>
    <w:rsid w:val="00B92DFF"/>
    <w:rsid w:val="00B93B25"/>
    <w:rsid w:val="00BA3407"/>
    <w:rsid w:val="00BA36AB"/>
    <w:rsid w:val="00BA63D9"/>
    <w:rsid w:val="00BA79B0"/>
    <w:rsid w:val="00BB0450"/>
    <w:rsid w:val="00BB3394"/>
    <w:rsid w:val="00BF02D0"/>
    <w:rsid w:val="00C04395"/>
    <w:rsid w:val="00C053A5"/>
    <w:rsid w:val="00C24198"/>
    <w:rsid w:val="00C26232"/>
    <w:rsid w:val="00C264E6"/>
    <w:rsid w:val="00C60676"/>
    <w:rsid w:val="00C7417C"/>
    <w:rsid w:val="00C805B8"/>
    <w:rsid w:val="00CA1DFE"/>
    <w:rsid w:val="00CA5049"/>
    <w:rsid w:val="00CA7C80"/>
    <w:rsid w:val="00CB3B97"/>
    <w:rsid w:val="00CB7DAF"/>
    <w:rsid w:val="00CC31AA"/>
    <w:rsid w:val="00CC7E55"/>
    <w:rsid w:val="00CD5EF8"/>
    <w:rsid w:val="00CF01B7"/>
    <w:rsid w:val="00CF2F3D"/>
    <w:rsid w:val="00CF2F74"/>
    <w:rsid w:val="00D00397"/>
    <w:rsid w:val="00D05F6D"/>
    <w:rsid w:val="00D16CBF"/>
    <w:rsid w:val="00D23BCF"/>
    <w:rsid w:val="00D31336"/>
    <w:rsid w:val="00D50F9E"/>
    <w:rsid w:val="00D72E10"/>
    <w:rsid w:val="00D7665C"/>
    <w:rsid w:val="00D76C0C"/>
    <w:rsid w:val="00D8362D"/>
    <w:rsid w:val="00D90806"/>
    <w:rsid w:val="00D90D35"/>
    <w:rsid w:val="00DA15CE"/>
    <w:rsid w:val="00DB4306"/>
    <w:rsid w:val="00DC1FFD"/>
    <w:rsid w:val="00DE7F93"/>
    <w:rsid w:val="00E11FAF"/>
    <w:rsid w:val="00E11FB4"/>
    <w:rsid w:val="00E25B82"/>
    <w:rsid w:val="00E3091D"/>
    <w:rsid w:val="00E41312"/>
    <w:rsid w:val="00E42685"/>
    <w:rsid w:val="00E56891"/>
    <w:rsid w:val="00E730B3"/>
    <w:rsid w:val="00E76615"/>
    <w:rsid w:val="00EA7201"/>
    <w:rsid w:val="00EB0950"/>
    <w:rsid w:val="00EB520C"/>
    <w:rsid w:val="00ED2074"/>
    <w:rsid w:val="00ED5773"/>
    <w:rsid w:val="00EE1660"/>
    <w:rsid w:val="00EF0397"/>
    <w:rsid w:val="00F03A76"/>
    <w:rsid w:val="00F04AEF"/>
    <w:rsid w:val="00F16A23"/>
    <w:rsid w:val="00F2722F"/>
    <w:rsid w:val="00F30750"/>
    <w:rsid w:val="00F31DD2"/>
    <w:rsid w:val="00F36CEC"/>
    <w:rsid w:val="00F4469E"/>
    <w:rsid w:val="00F5072E"/>
    <w:rsid w:val="00F558A8"/>
    <w:rsid w:val="00F6147F"/>
    <w:rsid w:val="00F6293B"/>
    <w:rsid w:val="00F714B2"/>
    <w:rsid w:val="00F71F57"/>
    <w:rsid w:val="00F9384C"/>
    <w:rsid w:val="00FA35E5"/>
    <w:rsid w:val="00FB2770"/>
    <w:rsid w:val="00FD14FB"/>
    <w:rsid w:val="00FE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B4A5"/>
  <w15:docId w15:val="{36E860B9-A8E6-4D03-969A-BFAB1225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57"/>
  </w:style>
  <w:style w:type="paragraph" w:styleId="Heading1">
    <w:name w:val="heading 1"/>
    <w:basedOn w:val="Normal"/>
    <w:next w:val="Normal"/>
    <w:link w:val="Heading1Char"/>
    <w:uiPriority w:val="9"/>
    <w:qFormat/>
    <w:rsid w:val="002D3E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D3E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D3E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D3E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D3E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D3E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D3E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3E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D3E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3E9B"/>
    <w:pPr>
      <w:tabs>
        <w:tab w:val="center" w:pos="4153"/>
        <w:tab w:val="right" w:pos="8306"/>
      </w:tabs>
    </w:pPr>
  </w:style>
  <w:style w:type="character" w:customStyle="1" w:styleId="FooterChar">
    <w:name w:val="Footer Char"/>
    <w:basedOn w:val="DefaultParagraphFont"/>
    <w:link w:val="Footer"/>
    <w:rsid w:val="002D3E9B"/>
    <w:rPr>
      <w:rFonts w:ascii="Times New Roman" w:eastAsia="Times New Roman" w:hAnsi="Times New Roman" w:cs="Times New Roman"/>
      <w:sz w:val="24"/>
      <w:szCs w:val="24"/>
      <w:lang w:val="en-US"/>
    </w:rPr>
  </w:style>
  <w:style w:type="character" w:styleId="PageNumber">
    <w:name w:val="page number"/>
    <w:basedOn w:val="DefaultParagraphFont"/>
    <w:rsid w:val="002D3E9B"/>
  </w:style>
  <w:style w:type="paragraph" w:styleId="ListParagraph">
    <w:name w:val="List Paragraph"/>
    <w:basedOn w:val="Normal"/>
    <w:uiPriority w:val="34"/>
    <w:qFormat/>
    <w:rsid w:val="002D3E9B"/>
    <w:pPr>
      <w:ind w:left="720"/>
      <w:contextualSpacing/>
    </w:pPr>
  </w:style>
  <w:style w:type="character" w:styleId="Strong">
    <w:name w:val="Strong"/>
    <w:uiPriority w:val="22"/>
    <w:qFormat/>
    <w:rsid w:val="002D3E9B"/>
    <w:rPr>
      <w:b/>
      <w:bCs/>
    </w:rPr>
  </w:style>
  <w:style w:type="character" w:customStyle="1" w:styleId="Heading1Char">
    <w:name w:val="Heading 1 Char"/>
    <w:basedOn w:val="DefaultParagraphFont"/>
    <w:link w:val="Heading1"/>
    <w:uiPriority w:val="9"/>
    <w:rsid w:val="002D3E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D3E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D3E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D3E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D3E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D3E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D3E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3E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D3E9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D3E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D3E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D3E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D3E9B"/>
    <w:rPr>
      <w:rFonts w:asciiTheme="majorHAnsi" w:eastAsiaTheme="majorEastAsia" w:hAnsiTheme="majorHAnsi" w:cstheme="majorBidi"/>
      <w:i/>
      <w:iCs/>
      <w:spacing w:val="13"/>
      <w:sz w:val="24"/>
      <w:szCs w:val="24"/>
    </w:rPr>
  </w:style>
  <w:style w:type="character" w:styleId="Emphasis">
    <w:name w:val="Emphasis"/>
    <w:uiPriority w:val="20"/>
    <w:qFormat/>
    <w:rsid w:val="002D3E9B"/>
    <w:rPr>
      <w:b/>
      <w:bCs/>
      <w:i/>
      <w:iCs/>
      <w:spacing w:val="10"/>
      <w:bdr w:val="none" w:sz="0" w:space="0" w:color="auto"/>
      <w:shd w:val="clear" w:color="auto" w:fill="auto"/>
    </w:rPr>
  </w:style>
  <w:style w:type="paragraph" w:styleId="NoSpacing">
    <w:name w:val="No Spacing"/>
    <w:basedOn w:val="Normal"/>
    <w:uiPriority w:val="1"/>
    <w:qFormat/>
    <w:rsid w:val="002D3E9B"/>
    <w:pPr>
      <w:spacing w:after="0" w:line="240" w:lineRule="auto"/>
    </w:pPr>
  </w:style>
  <w:style w:type="paragraph" w:styleId="Quote">
    <w:name w:val="Quote"/>
    <w:basedOn w:val="Normal"/>
    <w:next w:val="Normal"/>
    <w:link w:val="QuoteChar"/>
    <w:uiPriority w:val="29"/>
    <w:qFormat/>
    <w:rsid w:val="002D3E9B"/>
    <w:pPr>
      <w:spacing w:before="200" w:after="0"/>
      <w:ind w:left="360" w:right="360"/>
    </w:pPr>
    <w:rPr>
      <w:i/>
      <w:iCs/>
    </w:rPr>
  </w:style>
  <w:style w:type="character" w:customStyle="1" w:styleId="QuoteChar">
    <w:name w:val="Quote Char"/>
    <w:basedOn w:val="DefaultParagraphFont"/>
    <w:link w:val="Quote"/>
    <w:uiPriority w:val="29"/>
    <w:rsid w:val="002D3E9B"/>
    <w:rPr>
      <w:i/>
      <w:iCs/>
    </w:rPr>
  </w:style>
  <w:style w:type="paragraph" w:styleId="IntenseQuote">
    <w:name w:val="Intense Quote"/>
    <w:basedOn w:val="Normal"/>
    <w:next w:val="Normal"/>
    <w:link w:val="IntenseQuoteChar"/>
    <w:uiPriority w:val="30"/>
    <w:qFormat/>
    <w:rsid w:val="002D3E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D3E9B"/>
    <w:rPr>
      <w:b/>
      <w:bCs/>
      <w:i/>
      <w:iCs/>
    </w:rPr>
  </w:style>
  <w:style w:type="character" w:styleId="SubtleEmphasis">
    <w:name w:val="Subtle Emphasis"/>
    <w:uiPriority w:val="19"/>
    <w:qFormat/>
    <w:rsid w:val="002D3E9B"/>
    <w:rPr>
      <w:i/>
      <w:iCs/>
    </w:rPr>
  </w:style>
  <w:style w:type="character" w:styleId="IntenseEmphasis">
    <w:name w:val="Intense Emphasis"/>
    <w:uiPriority w:val="21"/>
    <w:qFormat/>
    <w:rsid w:val="002D3E9B"/>
    <w:rPr>
      <w:b/>
      <w:bCs/>
    </w:rPr>
  </w:style>
  <w:style w:type="character" w:styleId="SubtleReference">
    <w:name w:val="Subtle Reference"/>
    <w:uiPriority w:val="31"/>
    <w:qFormat/>
    <w:rsid w:val="002D3E9B"/>
    <w:rPr>
      <w:smallCaps/>
    </w:rPr>
  </w:style>
  <w:style w:type="character" w:styleId="IntenseReference">
    <w:name w:val="Intense Reference"/>
    <w:uiPriority w:val="32"/>
    <w:qFormat/>
    <w:rsid w:val="002D3E9B"/>
    <w:rPr>
      <w:smallCaps/>
      <w:spacing w:val="5"/>
      <w:u w:val="single"/>
    </w:rPr>
  </w:style>
  <w:style w:type="character" w:styleId="BookTitle">
    <w:name w:val="Book Title"/>
    <w:uiPriority w:val="33"/>
    <w:qFormat/>
    <w:rsid w:val="002D3E9B"/>
    <w:rPr>
      <w:i/>
      <w:iCs/>
      <w:smallCaps/>
      <w:spacing w:val="5"/>
    </w:rPr>
  </w:style>
  <w:style w:type="paragraph" w:styleId="TOCHeading">
    <w:name w:val="TOC Heading"/>
    <w:basedOn w:val="Heading1"/>
    <w:next w:val="Normal"/>
    <w:uiPriority w:val="39"/>
    <w:semiHidden/>
    <w:unhideWhenUsed/>
    <w:qFormat/>
    <w:rsid w:val="002D3E9B"/>
    <w:pPr>
      <w:outlineLvl w:val="9"/>
    </w:pPr>
    <w:rPr>
      <w:lang w:bidi="en-US"/>
    </w:rPr>
  </w:style>
  <w:style w:type="paragraph" w:styleId="Header">
    <w:name w:val="header"/>
    <w:basedOn w:val="Normal"/>
    <w:link w:val="HeaderChar"/>
    <w:uiPriority w:val="99"/>
    <w:unhideWhenUsed/>
    <w:rsid w:val="002D3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E9B"/>
  </w:style>
  <w:style w:type="paragraph" w:styleId="BalloonText">
    <w:name w:val="Balloon Text"/>
    <w:basedOn w:val="Normal"/>
    <w:link w:val="BalloonTextChar"/>
    <w:uiPriority w:val="99"/>
    <w:semiHidden/>
    <w:unhideWhenUsed/>
    <w:rsid w:val="0081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8329">
      <w:bodyDiv w:val="1"/>
      <w:marLeft w:val="0"/>
      <w:marRight w:val="0"/>
      <w:marTop w:val="0"/>
      <w:marBottom w:val="0"/>
      <w:divBdr>
        <w:top w:val="none" w:sz="0" w:space="0" w:color="auto"/>
        <w:left w:val="none" w:sz="0" w:space="0" w:color="auto"/>
        <w:bottom w:val="none" w:sz="0" w:space="0" w:color="auto"/>
        <w:right w:val="none" w:sz="0" w:space="0" w:color="auto"/>
      </w:divBdr>
    </w:div>
    <w:div w:id="708336236">
      <w:bodyDiv w:val="1"/>
      <w:marLeft w:val="0"/>
      <w:marRight w:val="0"/>
      <w:marTop w:val="0"/>
      <w:marBottom w:val="0"/>
      <w:divBdr>
        <w:top w:val="none" w:sz="0" w:space="0" w:color="auto"/>
        <w:left w:val="none" w:sz="0" w:space="0" w:color="auto"/>
        <w:bottom w:val="none" w:sz="0" w:space="0" w:color="auto"/>
        <w:right w:val="none" w:sz="0" w:space="0" w:color="auto"/>
      </w:divBdr>
    </w:div>
    <w:div w:id="924649943">
      <w:bodyDiv w:val="1"/>
      <w:marLeft w:val="0"/>
      <w:marRight w:val="0"/>
      <w:marTop w:val="0"/>
      <w:marBottom w:val="0"/>
      <w:divBdr>
        <w:top w:val="none" w:sz="0" w:space="0" w:color="auto"/>
        <w:left w:val="none" w:sz="0" w:space="0" w:color="auto"/>
        <w:bottom w:val="none" w:sz="0" w:space="0" w:color="auto"/>
        <w:right w:val="none" w:sz="0" w:space="0" w:color="auto"/>
      </w:divBdr>
    </w:div>
    <w:div w:id="1067218939">
      <w:bodyDiv w:val="1"/>
      <w:marLeft w:val="0"/>
      <w:marRight w:val="0"/>
      <w:marTop w:val="0"/>
      <w:marBottom w:val="0"/>
      <w:divBdr>
        <w:top w:val="none" w:sz="0" w:space="0" w:color="auto"/>
        <w:left w:val="none" w:sz="0" w:space="0" w:color="auto"/>
        <w:bottom w:val="none" w:sz="0" w:space="0" w:color="auto"/>
        <w:right w:val="none" w:sz="0" w:space="0" w:color="auto"/>
      </w:divBdr>
    </w:div>
    <w:div w:id="1068380745">
      <w:bodyDiv w:val="1"/>
      <w:marLeft w:val="0"/>
      <w:marRight w:val="0"/>
      <w:marTop w:val="0"/>
      <w:marBottom w:val="0"/>
      <w:divBdr>
        <w:top w:val="none" w:sz="0" w:space="0" w:color="auto"/>
        <w:left w:val="none" w:sz="0" w:space="0" w:color="auto"/>
        <w:bottom w:val="none" w:sz="0" w:space="0" w:color="auto"/>
        <w:right w:val="none" w:sz="0" w:space="0" w:color="auto"/>
      </w:divBdr>
    </w:div>
    <w:div w:id="1451313319">
      <w:bodyDiv w:val="1"/>
      <w:marLeft w:val="0"/>
      <w:marRight w:val="0"/>
      <w:marTop w:val="0"/>
      <w:marBottom w:val="0"/>
      <w:divBdr>
        <w:top w:val="none" w:sz="0" w:space="0" w:color="auto"/>
        <w:left w:val="none" w:sz="0" w:space="0" w:color="auto"/>
        <w:bottom w:val="none" w:sz="0" w:space="0" w:color="auto"/>
        <w:right w:val="none" w:sz="0" w:space="0" w:color="auto"/>
      </w:divBdr>
    </w:div>
    <w:div w:id="1463034292">
      <w:bodyDiv w:val="1"/>
      <w:marLeft w:val="0"/>
      <w:marRight w:val="0"/>
      <w:marTop w:val="0"/>
      <w:marBottom w:val="0"/>
      <w:divBdr>
        <w:top w:val="none" w:sz="0" w:space="0" w:color="auto"/>
        <w:left w:val="none" w:sz="0" w:space="0" w:color="auto"/>
        <w:bottom w:val="none" w:sz="0" w:space="0" w:color="auto"/>
        <w:right w:val="none" w:sz="0" w:space="0" w:color="auto"/>
      </w:divBdr>
    </w:div>
    <w:div w:id="1484471690">
      <w:bodyDiv w:val="1"/>
      <w:marLeft w:val="0"/>
      <w:marRight w:val="0"/>
      <w:marTop w:val="0"/>
      <w:marBottom w:val="0"/>
      <w:divBdr>
        <w:top w:val="none" w:sz="0" w:space="0" w:color="auto"/>
        <w:left w:val="none" w:sz="0" w:space="0" w:color="auto"/>
        <w:bottom w:val="none" w:sz="0" w:space="0" w:color="auto"/>
        <w:right w:val="none" w:sz="0" w:space="0" w:color="auto"/>
      </w:divBdr>
    </w:div>
    <w:div w:id="1550726333">
      <w:bodyDiv w:val="1"/>
      <w:marLeft w:val="0"/>
      <w:marRight w:val="0"/>
      <w:marTop w:val="0"/>
      <w:marBottom w:val="0"/>
      <w:divBdr>
        <w:top w:val="none" w:sz="0" w:space="0" w:color="auto"/>
        <w:left w:val="none" w:sz="0" w:space="0" w:color="auto"/>
        <w:bottom w:val="none" w:sz="0" w:space="0" w:color="auto"/>
        <w:right w:val="none" w:sz="0" w:space="0" w:color="auto"/>
      </w:divBdr>
    </w:div>
    <w:div w:id="1620599974">
      <w:bodyDiv w:val="1"/>
      <w:marLeft w:val="0"/>
      <w:marRight w:val="0"/>
      <w:marTop w:val="0"/>
      <w:marBottom w:val="0"/>
      <w:divBdr>
        <w:top w:val="none" w:sz="0" w:space="0" w:color="auto"/>
        <w:left w:val="none" w:sz="0" w:space="0" w:color="auto"/>
        <w:bottom w:val="none" w:sz="0" w:space="0" w:color="auto"/>
        <w:right w:val="none" w:sz="0" w:space="0" w:color="auto"/>
      </w:divBdr>
    </w:div>
    <w:div w:id="1748527233">
      <w:bodyDiv w:val="1"/>
      <w:marLeft w:val="0"/>
      <w:marRight w:val="0"/>
      <w:marTop w:val="0"/>
      <w:marBottom w:val="0"/>
      <w:divBdr>
        <w:top w:val="none" w:sz="0" w:space="0" w:color="auto"/>
        <w:left w:val="none" w:sz="0" w:space="0" w:color="auto"/>
        <w:bottom w:val="none" w:sz="0" w:space="0" w:color="auto"/>
        <w:right w:val="none" w:sz="0" w:space="0" w:color="auto"/>
      </w:divBdr>
    </w:div>
    <w:div w:id="1835797413">
      <w:bodyDiv w:val="1"/>
      <w:marLeft w:val="0"/>
      <w:marRight w:val="0"/>
      <w:marTop w:val="0"/>
      <w:marBottom w:val="0"/>
      <w:divBdr>
        <w:top w:val="none" w:sz="0" w:space="0" w:color="auto"/>
        <w:left w:val="none" w:sz="0" w:space="0" w:color="auto"/>
        <w:bottom w:val="none" w:sz="0" w:space="0" w:color="auto"/>
        <w:right w:val="none" w:sz="0" w:space="0" w:color="auto"/>
      </w:divBdr>
    </w:div>
    <w:div w:id="19257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8CE2-FADC-4D6E-B06A-23AFC5EA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Stewart</dc:creator>
  <cp:lastModifiedBy>Lorna Colville</cp:lastModifiedBy>
  <cp:revision>2</cp:revision>
  <cp:lastPrinted>2020-02-11T13:13:00Z</cp:lastPrinted>
  <dcterms:created xsi:type="dcterms:W3CDTF">2022-02-11T15:01:00Z</dcterms:created>
  <dcterms:modified xsi:type="dcterms:W3CDTF">2022-02-11T15:01:00Z</dcterms:modified>
</cp:coreProperties>
</file>